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spacing w:line="560" w:lineRule="exact"/>
        <w:jc w:val="center"/>
        <w:textAlignment w:val="auto"/>
        <w:rPr>
          <w:rFonts w:eastAsia="方正小标宋简体" w:cs="方正仿宋简体"/>
          <w:color w:val="000000"/>
          <w:sz w:val="44"/>
          <w:szCs w:val="44"/>
        </w:rPr>
      </w:pPr>
      <w:r>
        <w:rPr>
          <w:rFonts w:hint="eastAsia" w:eastAsia="方正小标宋简体" w:cs="方正仿宋简体"/>
          <w:color w:val="000000"/>
          <w:sz w:val="44"/>
          <w:szCs w:val="44"/>
          <w:lang w:val="en-US" w:eastAsia="zh-CN"/>
        </w:rPr>
        <w:t>肇庆市</w:t>
      </w:r>
      <w:r>
        <w:rPr>
          <w:rFonts w:hint="eastAsia" w:eastAsia="方正小标宋简体" w:cs="方正仿宋简体"/>
          <w:color w:val="000000"/>
          <w:sz w:val="44"/>
          <w:szCs w:val="44"/>
        </w:rPr>
        <w:t>配装眼镜</w:t>
      </w:r>
      <w:r>
        <w:rPr>
          <w:rFonts w:eastAsia="方正小标宋简体" w:cs="方正仿宋简体"/>
          <w:color w:val="000000"/>
          <w:sz w:val="44"/>
          <w:szCs w:val="44"/>
        </w:rPr>
        <w:t>产品质量监督抽查实施细则</w:t>
      </w:r>
    </w:p>
    <w:p>
      <w:pPr>
        <w:keepNext w:val="0"/>
        <w:keepLines w:val="0"/>
        <w:pageBreakBefore w:val="0"/>
        <w:kinsoku/>
        <w:wordWrap/>
        <w:overflowPunct/>
        <w:topLinePunct w:val="0"/>
        <w:bidi w:val="0"/>
        <w:adjustRightInd/>
        <w:spacing w:line="560" w:lineRule="exact"/>
        <w:jc w:val="center"/>
        <w:textAlignment w:val="auto"/>
        <w:rPr>
          <w:rFonts w:eastAsia="楷体_GB2312"/>
          <w:sz w:val="32"/>
          <w:szCs w:val="32"/>
        </w:rPr>
      </w:pPr>
      <w:r>
        <w:rPr>
          <w:rFonts w:eastAsia="楷体_GB2312"/>
          <w:sz w:val="32"/>
          <w:szCs w:val="32"/>
        </w:rPr>
        <w:t>（2025年版）</w:t>
      </w:r>
    </w:p>
    <w:p>
      <w:pPr>
        <w:keepNext w:val="0"/>
        <w:keepLines w:val="0"/>
        <w:pageBreakBefore w:val="0"/>
        <w:kinsoku/>
        <w:wordWrap/>
        <w:overflowPunct/>
        <w:topLinePunct w:val="0"/>
        <w:bidi w:val="0"/>
        <w:adjustRightInd/>
        <w:spacing w:line="560" w:lineRule="exact"/>
        <w:jc w:val="center"/>
        <w:textAlignment w:val="auto"/>
        <w:rPr>
          <w:rFonts w:eastAsia="楷体_GB2312"/>
          <w:sz w:val="32"/>
          <w:szCs w:val="32"/>
        </w:rPr>
      </w:pP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hint="eastAsia"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一、抽样方法</w:t>
      </w:r>
    </w:p>
    <w:p>
      <w:pPr>
        <w:keepNext w:val="0"/>
        <w:keepLines w:val="0"/>
        <w:pageBreakBefore w:val="0"/>
        <w:kinsoku/>
        <w:wordWrap/>
        <w:overflowPunct/>
        <w:topLinePunct w:val="0"/>
        <w:bidi w:val="0"/>
        <w:adjustRightInd/>
        <w:spacing w:line="560" w:lineRule="exact"/>
        <w:ind w:firstLine="600" w:firstLineChars="200"/>
        <w:textAlignment w:val="auto"/>
        <w:rPr>
          <w:rFonts w:eastAsia="仿宋_GB2312"/>
          <w:kern w:val="0"/>
          <w:sz w:val="30"/>
          <w:szCs w:val="30"/>
        </w:rPr>
      </w:pPr>
      <w:r>
        <w:rPr>
          <w:rFonts w:hint="eastAsia" w:eastAsia="仿宋_GB2312"/>
          <w:kern w:val="0"/>
          <w:sz w:val="30"/>
          <w:szCs w:val="30"/>
        </w:rPr>
        <w:t>在企业的加工中心或市场随机抽取经企业检验合格或以任何方式表明合格的近期生产的产品。抽取的样品连同其原包装、镜片袋、验配单等。</w:t>
      </w:r>
      <w:r>
        <w:rPr>
          <w:rFonts w:eastAsia="仿宋_GB2312"/>
          <w:kern w:val="0"/>
          <w:sz w:val="30"/>
          <w:szCs w:val="30"/>
        </w:rPr>
        <w:t>抽查数量：</w:t>
      </w:r>
      <w:r>
        <w:rPr>
          <w:rFonts w:hint="eastAsia" w:eastAsia="仿宋_GB2312"/>
          <w:kern w:val="0"/>
          <w:sz w:val="30"/>
          <w:szCs w:val="30"/>
        </w:rPr>
        <w:t>每批次随机抽取同型号规格样品</w:t>
      </w:r>
      <w:r>
        <w:rPr>
          <w:rFonts w:eastAsia="仿宋_GB2312"/>
          <w:kern w:val="0"/>
          <w:sz w:val="30"/>
          <w:szCs w:val="30"/>
        </w:rPr>
        <w:t>1</w:t>
      </w:r>
      <w:r>
        <w:rPr>
          <w:rFonts w:hint="eastAsia" w:eastAsia="仿宋_GB2312"/>
          <w:kern w:val="0"/>
          <w:sz w:val="30"/>
          <w:szCs w:val="30"/>
        </w:rPr>
        <w:t>副用于检验（无备样）。</w:t>
      </w: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hint="eastAsia" w:ascii="方正黑体_GBK" w:hAnsi="方正黑体_GBK" w:eastAsia="方正黑体_GBK" w:cs="方正黑体_GBK"/>
          <w:sz w:val="30"/>
          <w:szCs w:val="30"/>
        </w:rPr>
        <w:t>二、主要检验项目及检验项目属性划分</w:t>
      </w:r>
    </w:p>
    <w:tbl>
      <w:tblPr>
        <w:tblStyle w:val="15"/>
        <w:tblW w:w="0" w:type="auto"/>
        <w:jc w:val="center"/>
        <w:tblLayout w:type="fixed"/>
        <w:tblCellMar>
          <w:top w:w="0" w:type="dxa"/>
          <w:left w:w="0" w:type="dxa"/>
          <w:bottom w:w="0" w:type="dxa"/>
          <w:right w:w="0" w:type="dxa"/>
        </w:tblCellMar>
      </w:tblPr>
      <w:tblGrid>
        <w:gridCol w:w="520"/>
        <w:gridCol w:w="2977"/>
        <w:gridCol w:w="2126"/>
        <w:gridCol w:w="670"/>
        <w:gridCol w:w="670"/>
        <w:gridCol w:w="671"/>
        <w:gridCol w:w="670"/>
        <w:gridCol w:w="671"/>
      </w:tblGrid>
      <w:tr>
        <w:tblPrEx>
          <w:tblCellMar>
            <w:top w:w="0" w:type="dxa"/>
            <w:left w:w="0" w:type="dxa"/>
            <w:bottom w:w="0" w:type="dxa"/>
            <w:right w:w="0" w:type="dxa"/>
          </w:tblCellMar>
        </w:tblPrEx>
        <w:trPr>
          <w:trHeight w:val="23"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pStyle w:val="64"/>
              <w:keepNext w:val="0"/>
              <w:keepLines w:val="0"/>
              <w:pageBreakBefore w:val="0"/>
              <w:kinsoku/>
              <w:wordWrap/>
              <w:overflowPunct/>
              <w:topLinePunct w:val="0"/>
              <w:bidi w:val="0"/>
              <w:adjustRightInd/>
              <w:spacing w:line="560" w:lineRule="exact"/>
              <w:jc w:val="center"/>
              <w:textAlignment w:val="auto"/>
              <w:rPr>
                <w:rFonts w:ascii="宋体" w:hAnsi="宋体" w:eastAsia="宋体"/>
                <w:b/>
                <w:sz w:val="21"/>
                <w:szCs w:val="21"/>
              </w:rPr>
            </w:pPr>
            <w:r>
              <w:rPr>
                <w:rFonts w:ascii="宋体" w:hAnsi="宋体" w:eastAsia="宋体"/>
                <w:b/>
                <w:sz w:val="21"/>
                <w:szCs w:val="21"/>
              </w:rPr>
              <w:t>序号</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pStyle w:val="64"/>
              <w:keepNext w:val="0"/>
              <w:keepLines w:val="0"/>
              <w:pageBreakBefore w:val="0"/>
              <w:kinsoku/>
              <w:wordWrap/>
              <w:overflowPunct/>
              <w:topLinePunct w:val="0"/>
              <w:bidi w:val="0"/>
              <w:adjustRightInd/>
              <w:spacing w:line="560" w:lineRule="exact"/>
              <w:jc w:val="center"/>
              <w:textAlignment w:val="auto"/>
              <w:rPr>
                <w:rFonts w:ascii="宋体" w:hAnsi="宋体" w:eastAsia="宋体"/>
                <w:b/>
                <w:sz w:val="21"/>
                <w:szCs w:val="21"/>
              </w:rPr>
            </w:pPr>
            <w:r>
              <w:rPr>
                <w:rFonts w:ascii="宋体" w:hAnsi="宋体" w:eastAsia="宋体"/>
                <w:b/>
                <w:sz w:val="21"/>
                <w:szCs w:val="21"/>
              </w:rPr>
              <w:t>检验项目</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pStyle w:val="64"/>
              <w:keepNext w:val="0"/>
              <w:keepLines w:val="0"/>
              <w:pageBreakBefore w:val="0"/>
              <w:kinsoku/>
              <w:wordWrap/>
              <w:overflowPunct/>
              <w:topLinePunct w:val="0"/>
              <w:bidi w:val="0"/>
              <w:adjustRightInd/>
              <w:spacing w:line="560" w:lineRule="exact"/>
              <w:jc w:val="center"/>
              <w:textAlignment w:val="auto"/>
              <w:rPr>
                <w:rFonts w:ascii="宋体" w:hAnsi="宋体" w:eastAsia="宋体"/>
                <w:b/>
                <w:sz w:val="21"/>
                <w:szCs w:val="21"/>
              </w:rPr>
            </w:pPr>
            <w:r>
              <w:rPr>
                <w:rFonts w:ascii="宋体" w:hAnsi="宋体" w:eastAsia="宋体"/>
                <w:b/>
                <w:bCs/>
                <w:sz w:val="21"/>
                <w:szCs w:val="21"/>
              </w:rPr>
              <w:t>检验方法</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pStyle w:val="64"/>
              <w:keepNext w:val="0"/>
              <w:keepLines w:val="0"/>
              <w:pageBreakBefore w:val="0"/>
              <w:kinsoku/>
              <w:wordWrap/>
              <w:overflowPunct/>
              <w:topLinePunct w:val="0"/>
              <w:bidi w:val="0"/>
              <w:adjustRightInd/>
              <w:spacing w:line="560" w:lineRule="exact"/>
              <w:jc w:val="center"/>
              <w:textAlignment w:val="auto"/>
              <w:rPr>
                <w:rFonts w:ascii="宋体" w:hAnsi="宋体" w:eastAsia="宋体"/>
                <w:b/>
                <w:sz w:val="21"/>
                <w:szCs w:val="21"/>
              </w:rPr>
            </w:pPr>
            <w:r>
              <w:rPr>
                <w:rFonts w:ascii="宋体" w:hAnsi="宋体" w:eastAsia="宋体"/>
                <w:b/>
                <w:sz w:val="21"/>
                <w:szCs w:val="21"/>
              </w:rPr>
              <w:t>强制性</w:t>
            </w:r>
          </w:p>
        </w:tc>
        <w:tc>
          <w:tcPr>
            <w:tcW w:w="670" w:type="dxa"/>
            <w:tcBorders>
              <w:top w:val="single" w:color="000000" w:sz="4" w:space="0"/>
              <w:left w:val="single" w:color="000000" w:sz="4" w:space="0"/>
              <w:bottom w:val="single" w:color="000000" w:sz="4" w:space="0"/>
              <w:right w:val="single" w:color="auto" w:sz="4" w:space="0"/>
            </w:tcBorders>
            <w:noWrap/>
            <w:vAlign w:val="center"/>
          </w:tcPr>
          <w:p>
            <w:pPr>
              <w:pStyle w:val="64"/>
              <w:keepNext w:val="0"/>
              <w:keepLines w:val="0"/>
              <w:pageBreakBefore w:val="0"/>
              <w:kinsoku/>
              <w:wordWrap/>
              <w:overflowPunct/>
              <w:topLinePunct w:val="0"/>
              <w:bidi w:val="0"/>
              <w:adjustRightInd/>
              <w:spacing w:line="560" w:lineRule="exact"/>
              <w:ind w:left="136"/>
              <w:jc w:val="center"/>
              <w:textAlignment w:val="auto"/>
              <w:rPr>
                <w:rFonts w:ascii="宋体" w:hAnsi="宋体" w:eastAsia="宋体"/>
                <w:b/>
                <w:sz w:val="21"/>
                <w:szCs w:val="21"/>
              </w:rPr>
            </w:pPr>
            <w:r>
              <w:rPr>
                <w:rFonts w:ascii="宋体" w:hAnsi="宋体" w:eastAsia="宋体"/>
                <w:b/>
                <w:sz w:val="21"/>
                <w:szCs w:val="21"/>
              </w:rPr>
              <w:t>非强</w:t>
            </w:r>
          </w:p>
          <w:p>
            <w:pPr>
              <w:pStyle w:val="64"/>
              <w:keepNext w:val="0"/>
              <w:keepLines w:val="0"/>
              <w:pageBreakBefore w:val="0"/>
              <w:kinsoku/>
              <w:wordWrap/>
              <w:overflowPunct/>
              <w:topLinePunct w:val="0"/>
              <w:bidi w:val="0"/>
              <w:adjustRightInd/>
              <w:spacing w:line="560" w:lineRule="exact"/>
              <w:ind w:left="136"/>
              <w:jc w:val="center"/>
              <w:textAlignment w:val="auto"/>
              <w:rPr>
                <w:rFonts w:ascii="宋体" w:hAnsi="宋体" w:eastAsia="宋体"/>
                <w:b/>
                <w:sz w:val="21"/>
                <w:szCs w:val="21"/>
              </w:rPr>
            </w:pPr>
            <w:r>
              <w:rPr>
                <w:rFonts w:ascii="宋体" w:hAnsi="宋体" w:eastAsia="宋体"/>
                <w:b/>
                <w:sz w:val="21"/>
                <w:szCs w:val="21"/>
              </w:rPr>
              <w:t>制性</w:t>
            </w:r>
          </w:p>
        </w:tc>
        <w:tc>
          <w:tcPr>
            <w:tcW w:w="671" w:type="dxa"/>
            <w:tcBorders>
              <w:top w:val="single" w:color="000000" w:sz="4" w:space="0"/>
              <w:left w:val="single" w:color="auto" w:sz="4" w:space="0"/>
              <w:bottom w:val="single" w:color="000000" w:sz="4" w:space="0"/>
              <w:right w:val="single" w:color="auto" w:sz="4" w:space="0"/>
            </w:tcBorders>
            <w:noWrap/>
            <w:vAlign w:val="center"/>
          </w:tcPr>
          <w:p>
            <w:pPr>
              <w:pStyle w:val="64"/>
              <w:keepNext w:val="0"/>
              <w:keepLines w:val="0"/>
              <w:pageBreakBefore w:val="0"/>
              <w:kinsoku/>
              <w:wordWrap/>
              <w:overflowPunct/>
              <w:topLinePunct w:val="0"/>
              <w:bidi w:val="0"/>
              <w:adjustRightInd/>
              <w:spacing w:line="560" w:lineRule="exact"/>
              <w:ind w:left="136"/>
              <w:jc w:val="center"/>
              <w:textAlignment w:val="auto"/>
              <w:rPr>
                <w:rFonts w:ascii="宋体" w:hAnsi="宋体" w:eastAsia="宋体"/>
                <w:b/>
                <w:sz w:val="21"/>
                <w:szCs w:val="21"/>
              </w:rPr>
            </w:pPr>
            <w:r>
              <w:rPr>
                <w:rFonts w:ascii="宋体" w:hAnsi="宋体" w:eastAsia="宋体"/>
                <w:b/>
                <w:sz w:val="21"/>
                <w:szCs w:val="21"/>
              </w:rPr>
              <w:t>重要项</w:t>
            </w:r>
          </w:p>
        </w:tc>
        <w:tc>
          <w:tcPr>
            <w:tcW w:w="670" w:type="dxa"/>
            <w:tcBorders>
              <w:top w:val="single" w:color="000000" w:sz="4" w:space="0"/>
              <w:left w:val="single" w:color="auto" w:sz="4" w:space="0"/>
              <w:bottom w:val="single" w:color="000000" w:sz="4" w:space="0"/>
              <w:right w:val="single" w:color="auto" w:sz="4" w:space="0"/>
            </w:tcBorders>
            <w:noWrap/>
            <w:vAlign w:val="center"/>
          </w:tcPr>
          <w:p>
            <w:pPr>
              <w:pStyle w:val="64"/>
              <w:keepNext w:val="0"/>
              <w:keepLines w:val="0"/>
              <w:pageBreakBefore w:val="0"/>
              <w:kinsoku/>
              <w:wordWrap/>
              <w:overflowPunct/>
              <w:topLinePunct w:val="0"/>
              <w:bidi w:val="0"/>
              <w:adjustRightInd/>
              <w:spacing w:line="560" w:lineRule="exact"/>
              <w:ind w:left="136"/>
              <w:jc w:val="center"/>
              <w:textAlignment w:val="auto"/>
              <w:rPr>
                <w:rFonts w:ascii="宋体" w:hAnsi="宋体" w:eastAsia="宋体"/>
                <w:b/>
                <w:sz w:val="21"/>
                <w:szCs w:val="21"/>
              </w:rPr>
            </w:pPr>
            <w:r>
              <w:rPr>
                <w:rFonts w:ascii="宋体" w:hAnsi="宋体" w:eastAsia="宋体"/>
                <w:b/>
                <w:sz w:val="21"/>
                <w:szCs w:val="21"/>
              </w:rPr>
              <w:t>较重</w:t>
            </w:r>
          </w:p>
          <w:p>
            <w:pPr>
              <w:pStyle w:val="64"/>
              <w:keepNext w:val="0"/>
              <w:keepLines w:val="0"/>
              <w:pageBreakBefore w:val="0"/>
              <w:kinsoku/>
              <w:wordWrap/>
              <w:overflowPunct/>
              <w:topLinePunct w:val="0"/>
              <w:bidi w:val="0"/>
              <w:adjustRightInd/>
              <w:spacing w:line="560" w:lineRule="exact"/>
              <w:ind w:left="136"/>
              <w:jc w:val="center"/>
              <w:textAlignment w:val="auto"/>
              <w:rPr>
                <w:rFonts w:ascii="宋体" w:hAnsi="宋体" w:eastAsia="宋体"/>
                <w:b/>
                <w:sz w:val="21"/>
                <w:szCs w:val="21"/>
              </w:rPr>
            </w:pPr>
            <w:r>
              <w:rPr>
                <w:rFonts w:ascii="宋体" w:hAnsi="宋体" w:eastAsia="宋体"/>
                <w:b/>
                <w:sz w:val="21"/>
                <w:szCs w:val="21"/>
              </w:rPr>
              <w:t>要项</w:t>
            </w:r>
          </w:p>
        </w:tc>
        <w:tc>
          <w:tcPr>
            <w:tcW w:w="671" w:type="dxa"/>
            <w:tcBorders>
              <w:top w:val="single" w:color="000000" w:sz="4" w:space="0"/>
              <w:left w:val="single" w:color="auto" w:sz="4" w:space="0"/>
              <w:bottom w:val="single" w:color="000000" w:sz="4" w:space="0"/>
              <w:right w:val="single" w:color="000000" w:sz="4" w:space="0"/>
            </w:tcBorders>
            <w:noWrap/>
            <w:vAlign w:val="center"/>
          </w:tcPr>
          <w:p>
            <w:pPr>
              <w:pStyle w:val="64"/>
              <w:keepNext w:val="0"/>
              <w:keepLines w:val="0"/>
              <w:pageBreakBefore w:val="0"/>
              <w:kinsoku/>
              <w:wordWrap/>
              <w:overflowPunct/>
              <w:topLinePunct w:val="0"/>
              <w:bidi w:val="0"/>
              <w:adjustRightInd/>
              <w:spacing w:line="560" w:lineRule="exact"/>
              <w:ind w:left="136"/>
              <w:jc w:val="center"/>
              <w:textAlignment w:val="auto"/>
              <w:rPr>
                <w:rFonts w:ascii="宋体" w:hAnsi="宋体" w:eastAsia="宋体"/>
                <w:b/>
                <w:sz w:val="21"/>
                <w:szCs w:val="21"/>
              </w:rPr>
            </w:pPr>
            <w:r>
              <w:rPr>
                <w:rFonts w:ascii="宋体" w:hAnsi="宋体" w:eastAsia="宋体"/>
                <w:b/>
                <w:sz w:val="21"/>
                <w:szCs w:val="21"/>
              </w:rPr>
              <w:t>次要项</w:t>
            </w:r>
          </w:p>
        </w:tc>
      </w:tr>
      <w:tr>
        <w:tblPrEx>
          <w:tblCellMar>
            <w:top w:w="0" w:type="dxa"/>
            <w:left w:w="0" w:type="dxa"/>
            <w:bottom w:w="0" w:type="dxa"/>
            <w:right w:w="0" w:type="dxa"/>
          </w:tblCellMar>
        </w:tblPrEx>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1</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镜片表面质量和内在疵病</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10810.1/6.6</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outlineLvl w:val="0"/>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p>
        </w:tc>
        <w:tc>
          <w:tcPr>
            <w:tcW w:w="670"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outlineLvl w:val="0"/>
              <w:rPr>
                <w:rFonts w:ascii="宋体" w:hAnsi="宋体"/>
                <w:color w:val="000000"/>
              </w:rPr>
            </w:pPr>
          </w:p>
        </w:tc>
      </w:tr>
      <w:tr>
        <w:tblPrEx>
          <w:tblCellMar>
            <w:top w:w="0" w:type="dxa"/>
            <w:left w:w="0" w:type="dxa"/>
            <w:bottom w:w="0" w:type="dxa"/>
            <w:right w:w="0" w:type="dxa"/>
          </w:tblCellMar>
        </w:tblPrEx>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2</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球镜顶焦度偏差（</w:t>
            </w:r>
            <w:r>
              <w:rPr>
                <w:rFonts w:ascii="宋体" w:hAnsi="宋体" w:cs="宋体"/>
                <w:color w:val="000000"/>
              </w:rPr>
              <w:t>D</w:t>
            </w:r>
            <w:r>
              <w:rPr>
                <w:rFonts w:hint="eastAsia" w:ascii="宋体" w:hAnsi="宋体" w:cs="宋体"/>
                <w:color w:val="000000"/>
              </w:rPr>
              <w:t>）</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10810.1/6.1</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0"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r>
      <w:tr>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3</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柱镜顶焦度偏差（</w:t>
            </w:r>
            <w:r>
              <w:rPr>
                <w:rFonts w:ascii="宋体" w:hAnsi="宋体" w:cs="宋体"/>
                <w:color w:val="000000"/>
              </w:rPr>
              <w:t>D</w:t>
            </w:r>
            <w:r>
              <w:rPr>
                <w:rFonts w:hint="eastAsia" w:ascii="宋体" w:hAnsi="宋体" w:cs="宋体"/>
                <w:color w:val="000000"/>
              </w:rPr>
              <w:t>）</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10810.1/6.1</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0"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r>
      <w:tr>
        <w:tblPrEx>
          <w:tblCellMar>
            <w:top w:w="0" w:type="dxa"/>
            <w:left w:w="0" w:type="dxa"/>
            <w:bottom w:w="0" w:type="dxa"/>
            <w:right w:w="0" w:type="dxa"/>
          </w:tblCellMar>
        </w:tblPrEx>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4</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柱镜轴位偏差（</w:t>
            </w:r>
            <w:r>
              <w:rPr>
                <w:rFonts w:ascii="宋体" w:hAnsi="宋体" w:cs="宋体"/>
                <w:color w:val="000000"/>
              </w:rPr>
              <w:t>°</w:t>
            </w:r>
            <w:r>
              <w:rPr>
                <w:rFonts w:hint="eastAsia" w:ascii="宋体" w:hAnsi="宋体" w:cs="宋体"/>
                <w:color w:val="000000"/>
              </w:rPr>
              <w:t>）</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13511.1/6.3</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0"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r>
      <w:tr>
        <w:tblPrEx>
          <w:tblCellMar>
            <w:top w:w="0" w:type="dxa"/>
            <w:left w:w="0" w:type="dxa"/>
            <w:bottom w:w="0" w:type="dxa"/>
            <w:right w:w="0" w:type="dxa"/>
          </w:tblCellMar>
        </w:tblPrEx>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5</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棱镜度偏差（Δ）</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13511.1/6.3</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0"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r>
      <w:tr>
        <w:tblPrEx>
          <w:tblCellMar>
            <w:top w:w="0" w:type="dxa"/>
            <w:left w:w="0" w:type="dxa"/>
            <w:bottom w:w="0" w:type="dxa"/>
            <w:right w:w="0" w:type="dxa"/>
          </w:tblCellMar>
        </w:tblPrEx>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6</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附加顶焦度（</w:t>
            </w:r>
            <w:r>
              <w:rPr>
                <w:rFonts w:ascii="宋体" w:hAnsi="宋体" w:cs="宋体"/>
                <w:color w:val="000000"/>
              </w:rPr>
              <w:t>D</w:t>
            </w:r>
            <w:r>
              <w:rPr>
                <w:rFonts w:hint="eastAsia" w:ascii="宋体" w:hAnsi="宋体" w:cs="宋体"/>
                <w:color w:val="000000"/>
              </w:rPr>
              <w:t>）</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10810/6.4</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0"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r>
      <w:tr>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7</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光学中心单侧水平偏差（</w:t>
            </w:r>
            <w:r>
              <w:rPr>
                <w:rFonts w:ascii="宋体" w:hAnsi="宋体" w:cs="宋体"/>
                <w:color w:val="000000"/>
              </w:rPr>
              <w:t>mm</w:t>
            </w:r>
            <w:r>
              <w:rPr>
                <w:rFonts w:hint="eastAsia" w:ascii="宋体" w:hAnsi="宋体" w:cs="宋体"/>
                <w:color w:val="000000"/>
              </w:rPr>
              <w:t>）</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13511.1/6.4</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0"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r>
      <w:tr>
        <w:tblPrEx>
          <w:tblCellMar>
            <w:top w:w="0" w:type="dxa"/>
            <w:left w:w="0" w:type="dxa"/>
            <w:bottom w:w="0" w:type="dxa"/>
            <w:right w:w="0" w:type="dxa"/>
          </w:tblCellMar>
        </w:tblPrEx>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8</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光学中心垂直互差（</w:t>
            </w:r>
            <w:r>
              <w:rPr>
                <w:rFonts w:ascii="宋体" w:hAnsi="宋体" w:cs="宋体"/>
                <w:color w:val="000000"/>
              </w:rPr>
              <w:t>mm</w:t>
            </w:r>
            <w:r>
              <w:rPr>
                <w:rFonts w:hint="eastAsia" w:ascii="宋体" w:hAnsi="宋体" w:cs="宋体"/>
                <w:color w:val="000000"/>
              </w:rPr>
              <w:t>）</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13511.1/6.4</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0"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r>
      <w:tr>
        <w:tblPrEx>
          <w:tblCellMar>
            <w:top w:w="0" w:type="dxa"/>
            <w:left w:w="0" w:type="dxa"/>
            <w:bottom w:w="0" w:type="dxa"/>
            <w:right w:w="0" w:type="dxa"/>
          </w:tblCellMar>
        </w:tblPrEx>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9</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光学中心水平距离偏差（</w:t>
            </w:r>
            <w:r>
              <w:rPr>
                <w:rFonts w:ascii="宋体" w:hAnsi="宋体" w:cs="宋体"/>
                <w:color w:val="000000"/>
              </w:rPr>
              <w:t>mm</w:t>
            </w:r>
            <w:r>
              <w:rPr>
                <w:rFonts w:hint="eastAsia" w:ascii="宋体" w:hAnsi="宋体" w:cs="宋体"/>
                <w:color w:val="000000"/>
              </w:rPr>
              <w:t>）</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13511.1/6.4</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0"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r>
      <w:tr>
        <w:tblPrEx>
          <w:tblCellMar>
            <w:top w:w="0" w:type="dxa"/>
            <w:left w:w="0" w:type="dxa"/>
            <w:bottom w:w="0" w:type="dxa"/>
            <w:right w:w="0" w:type="dxa"/>
          </w:tblCellMar>
        </w:tblPrEx>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10</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镜片厚度</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10810.1/5.2.2</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p>
        </w:tc>
        <w:tc>
          <w:tcPr>
            <w:tcW w:w="670"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r>
      <w:tr>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11</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镜片色泽</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13511.1/5.2</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p>
        </w:tc>
        <w:tc>
          <w:tcPr>
            <w:tcW w:w="670"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r>
      <w:tr>
        <w:tblPrEx>
          <w:tblCellMar>
            <w:top w:w="0" w:type="dxa"/>
            <w:left w:w="0" w:type="dxa"/>
            <w:bottom w:w="0" w:type="dxa"/>
            <w:right w:w="0" w:type="dxa"/>
          </w:tblCellMar>
        </w:tblPrEx>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12</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装配质量</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13511.1/5.8</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p>
        </w:tc>
        <w:tc>
          <w:tcPr>
            <w:tcW w:w="670"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p>
        </w:tc>
      </w:tr>
      <w:tr>
        <w:tblPrEx>
          <w:tblCellMar>
            <w:top w:w="0" w:type="dxa"/>
            <w:left w:w="0" w:type="dxa"/>
            <w:bottom w:w="0" w:type="dxa"/>
            <w:right w:w="0" w:type="dxa"/>
          </w:tblCellMar>
        </w:tblPrEx>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hint="eastAsia" w:ascii="宋体" w:hAnsi="宋体"/>
                <w:color w:val="000000"/>
              </w:rPr>
              <w:t>13</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光透射性能</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10810.3</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olor w:val="000000"/>
              </w:rPr>
              <w:t>●</w:t>
            </w:r>
          </w:p>
        </w:tc>
        <w:tc>
          <w:tcPr>
            <w:tcW w:w="670"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p>
        </w:tc>
      </w:tr>
      <w:tr>
        <w:tblPrEx>
          <w:tblCellMar>
            <w:top w:w="0" w:type="dxa"/>
            <w:left w:w="0" w:type="dxa"/>
            <w:bottom w:w="0" w:type="dxa"/>
            <w:right w:w="0" w:type="dxa"/>
          </w:tblCellMar>
        </w:tblPrEx>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hint="eastAsia" w:ascii="宋体" w:hAnsi="宋体"/>
                <w:color w:val="000000"/>
              </w:rPr>
              <w:t>14</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两镜片顶焦度互差</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ascii="宋体" w:hAnsi="宋体" w:cs="宋体"/>
                <w:color w:val="000000"/>
              </w:rPr>
              <w:t>GB 10810.1/6.1</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0"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p>
        </w:tc>
      </w:tr>
      <w:tr>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15</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标志</w:t>
            </w:r>
            <w:r>
              <w:rPr>
                <w:rFonts w:ascii="宋体" w:hAnsi="宋体" w:cs="宋体"/>
                <w:color w:val="000000"/>
              </w:rPr>
              <w:t>1</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目测</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p>
        </w:tc>
        <w:tc>
          <w:tcPr>
            <w:tcW w:w="670" w:type="dxa"/>
            <w:tcBorders>
              <w:top w:val="single" w:color="000000" w:sz="4" w:space="0"/>
              <w:left w:val="single" w:color="auto" w:sz="4" w:space="0"/>
              <w:bottom w:val="single" w:color="000000" w:sz="4" w:space="0"/>
              <w:right w:val="single" w:color="auto" w:sz="4" w:space="0"/>
            </w:tcBorders>
            <w:noWrap/>
          </w:tcPr>
          <w:p>
            <w:pPr>
              <w:keepNext w:val="0"/>
              <w:keepLines w:val="0"/>
              <w:pageBreakBefore w:val="0"/>
              <w:kinsoku/>
              <w:wordWrap/>
              <w:overflowPunct/>
              <w:topLinePunct w:val="0"/>
              <w:bidi w:val="0"/>
              <w:adjustRightInd/>
              <w:spacing w:line="560" w:lineRule="exact"/>
              <w:jc w:val="center"/>
              <w:textAlignment w:val="auto"/>
              <w:rPr>
                <w:rFonts w:ascii="宋体" w:hAnsi="宋体"/>
              </w:rPr>
            </w:pPr>
            <w:r>
              <w:rPr>
                <w:rFonts w:ascii="宋体" w:hAnsi="宋体"/>
                <w:color w:val="000000"/>
              </w:rPr>
              <w:t>●</w:t>
            </w: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p>
        </w:tc>
      </w:tr>
      <w:tr>
        <w:tblPrEx>
          <w:tblCellMar>
            <w:top w:w="0" w:type="dxa"/>
            <w:left w:w="0" w:type="dxa"/>
            <w:bottom w:w="0" w:type="dxa"/>
            <w:right w:w="0" w:type="dxa"/>
          </w:tblCellMar>
        </w:tblPrEx>
        <w:trPr>
          <w:trHeight w:val="397" w:hRule="atLeast"/>
          <w:jc w:val="center"/>
        </w:trPr>
        <w:tc>
          <w:tcPr>
            <w:tcW w:w="5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hint="eastAsia" w:ascii="宋体" w:hAnsi="宋体"/>
                <w:color w:val="000000"/>
              </w:rPr>
              <w:t>16</w:t>
            </w:r>
          </w:p>
        </w:tc>
        <w:tc>
          <w:tcPr>
            <w:tcW w:w="29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标志</w:t>
            </w:r>
            <w:r>
              <w:rPr>
                <w:rFonts w:ascii="宋体" w:hAnsi="宋体" w:cs="宋体"/>
                <w:color w:val="000000"/>
              </w:rPr>
              <w:t>2</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bidi w:val="0"/>
              <w:adjustRightInd/>
              <w:spacing w:line="560" w:lineRule="exact"/>
              <w:jc w:val="center"/>
              <w:textAlignment w:val="auto"/>
              <w:rPr>
                <w:rFonts w:ascii="宋体" w:hAnsi="宋体" w:cs="宋体"/>
                <w:color w:val="000000"/>
              </w:rPr>
            </w:pPr>
            <w:r>
              <w:rPr>
                <w:rFonts w:hint="eastAsia" w:ascii="宋体" w:hAnsi="宋体" w:cs="宋体"/>
                <w:color w:val="000000"/>
              </w:rPr>
              <w:t>目测</w:t>
            </w:r>
          </w:p>
        </w:tc>
        <w:tc>
          <w:tcPr>
            <w:tcW w:w="6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c>
          <w:tcPr>
            <w:tcW w:w="670" w:type="dxa"/>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p>
        </w:tc>
        <w:tc>
          <w:tcPr>
            <w:tcW w:w="671" w:type="dxa"/>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p>
        </w:tc>
        <w:tc>
          <w:tcPr>
            <w:tcW w:w="670" w:type="dxa"/>
            <w:tcBorders>
              <w:top w:val="single" w:color="000000" w:sz="4" w:space="0"/>
              <w:left w:val="single" w:color="auto" w:sz="4" w:space="0"/>
              <w:bottom w:val="single" w:color="000000" w:sz="4" w:space="0"/>
              <w:right w:val="single" w:color="auto" w:sz="4" w:space="0"/>
            </w:tcBorders>
            <w:noWrap/>
            <w:vAlign w:val="center"/>
          </w:tcPr>
          <w:p>
            <w:pPr>
              <w:pStyle w:val="64"/>
              <w:keepNext w:val="0"/>
              <w:keepLines w:val="0"/>
              <w:pageBreakBefore w:val="0"/>
              <w:widowControl/>
              <w:kinsoku/>
              <w:wordWrap/>
              <w:overflowPunct/>
              <w:topLinePunct w:val="0"/>
              <w:bidi w:val="0"/>
              <w:adjustRightInd/>
              <w:snapToGrid w:val="0"/>
              <w:spacing w:line="560" w:lineRule="exact"/>
              <w:ind w:left="14"/>
              <w:jc w:val="center"/>
              <w:textAlignment w:val="auto"/>
              <w:rPr>
                <w:rFonts w:ascii="宋体" w:hAnsi="宋体" w:eastAsia="宋体"/>
                <w:color w:val="000000"/>
                <w:sz w:val="21"/>
                <w:szCs w:val="21"/>
              </w:rPr>
            </w:pPr>
          </w:p>
        </w:tc>
        <w:tc>
          <w:tcPr>
            <w:tcW w:w="671" w:type="dxa"/>
            <w:tcBorders>
              <w:top w:val="single" w:color="000000" w:sz="4" w:space="0"/>
              <w:left w:val="single" w:color="auto"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bidi w:val="0"/>
              <w:adjustRightInd/>
              <w:snapToGrid w:val="0"/>
              <w:spacing w:line="560" w:lineRule="exact"/>
              <w:jc w:val="center"/>
              <w:textAlignment w:val="auto"/>
              <w:rPr>
                <w:rFonts w:ascii="宋体" w:hAnsi="宋体"/>
                <w:color w:val="000000"/>
              </w:rPr>
            </w:pPr>
            <w:r>
              <w:rPr>
                <w:rFonts w:ascii="宋体" w:hAnsi="宋体"/>
                <w:color w:val="000000"/>
              </w:rPr>
              <w:t>●</w:t>
            </w:r>
          </w:p>
        </w:tc>
      </w:tr>
      <w:tr>
        <w:tblPrEx>
          <w:tblCellMar>
            <w:top w:w="0" w:type="dxa"/>
            <w:left w:w="0" w:type="dxa"/>
            <w:bottom w:w="0" w:type="dxa"/>
            <w:right w:w="0" w:type="dxa"/>
          </w:tblCellMar>
        </w:tblPrEx>
        <w:trPr>
          <w:trHeight w:val="23" w:hRule="atLeast"/>
          <w:jc w:val="center"/>
        </w:trPr>
        <w:tc>
          <w:tcPr>
            <w:tcW w:w="8975" w:type="dxa"/>
            <w:gridSpan w:val="8"/>
            <w:tcBorders>
              <w:top w:val="single" w:color="000000" w:sz="4" w:space="0"/>
              <w:left w:val="single" w:color="000000" w:sz="4" w:space="0"/>
              <w:bottom w:val="single" w:color="000000" w:sz="4" w:space="0"/>
              <w:right w:val="single" w:color="auto" w:sz="4" w:space="0"/>
            </w:tcBorders>
            <w:noWrap/>
          </w:tcPr>
          <w:p>
            <w:pPr>
              <w:keepNext w:val="0"/>
              <w:keepLines w:val="0"/>
              <w:pageBreakBefore w:val="0"/>
              <w:widowControl/>
              <w:kinsoku/>
              <w:wordWrap/>
              <w:overflowPunct/>
              <w:topLinePunct w:val="0"/>
              <w:bidi w:val="0"/>
              <w:adjustRightInd/>
              <w:snapToGrid w:val="0"/>
              <w:spacing w:line="560" w:lineRule="exact"/>
              <w:ind w:firstLine="420" w:firstLineChars="200"/>
              <w:textAlignment w:val="auto"/>
              <w:rPr>
                <w:rFonts w:ascii="宋体" w:hAnsi="宋体" w:cs="宋体"/>
                <w:color w:val="000000"/>
              </w:rPr>
            </w:pPr>
            <w:r>
              <w:rPr>
                <w:rFonts w:ascii="宋体" w:hAnsi="宋体" w:cs="宋体"/>
                <w:color w:val="000000"/>
              </w:rPr>
              <w:t>备注：</w:t>
            </w:r>
          </w:p>
          <w:p>
            <w:pPr>
              <w:keepNext w:val="0"/>
              <w:keepLines w:val="0"/>
              <w:pageBreakBefore w:val="0"/>
              <w:kinsoku/>
              <w:wordWrap/>
              <w:overflowPunct/>
              <w:topLinePunct w:val="0"/>
              <w:bidi w:val="0"/>
              <w:adjustRightInd/>
              <w:snapToGrid w:val="0"/>
              <w:spacing w:line="560" w:lineRule="exact"/>
              <w:ind w:right="-28" w:firstLine="420" w:firstLineChars="200"/>
              <w:textAlignment w:val="auto"/>
              <w:rPr>
                <w:rFonts w:ascii="宋体" w:hAnsi="宋体" w:cs="宋体"/>
                <w:color w:val="000000"/>
              </w:rPr>
            </w:pPr>
            <w:r>
              <w:rPr>
                <w:rFonts w:ascii="宋体" w:hAnsi="宋体" w:cs="宋体"/>
                <w:color w:val="000000"/>
              </w:rPr>
              <w:t>1.</w:t>
            </w:r>
            <w:r>
              <w:rPr>
                <w:rFonts w:hint="eastAsia" w:ascii="宋体" w:hAnsi="宋体" w:cs="宋体"/>
                <w:color w:val="000000"/>
              </w:rPr>
              <w:t>定配眼镜所用镜片有染色时透射应符合</w:t>
            </w:r>
            <w:r>
              <w:rPr>
                <w:rFonts w:ascii="宋体" w:hAnsi="宋体" w:cs="宋体"/>
                <w:color w:val="000000"/>
              </w:rPr>
              <w:t>GB10810.3 5.3</w:t>
            </w:r>
            <w:r>
              <w:rPr>
                <w:rFonts w:hint="eastAsia" w:ascii="宋体" w:hAnsi="宋体" w:cs="宋体"/>
                <w:color w:val="000000"/>
              </w:rPr>
              <w:t>要求，使用光致变色镜片时应符合</w:t>
            </w:r>
          </w:p>
          <w:p>
            <w:pPr>
              <w:keepNext w:val="0"/>
              <w:keepLines w:val="0"/>
              <w:pageBreakBefore w:val="0"/>
              <w:kinsoku/>
              <w:wordWrap/>
              <w:overflowPunct/>
              <w:topLinePunct w:val="0"/>
              <w:bidi w:val="0"/>
              <w:adjustRightInd/>
              <w:snapToGrid w:val="0"/>
              <w:spacing w:line="560" w:lineRule="exact"/>
              <w:ind w:right="-28" w:firstLine="105" w:firstLineChars="50"/>
              <w:textAlignment w:val="auto"/>
              <w:rPr>
                <w:rFonts w:ascii="宋体" w:hAnsi="宋体" w:cs="宋体"/>
                <w:color w:val="000000"/>
              </w:rPr>
            </w:pPr>
            <w:r>
              <w:rPr>
                <w:rFonts w:ascii="宋体" w:hAnsi="宋体" w:cs="宋体"/>
                <w:color w:val="000000"/>
              </w:rPr>
              <w:t>GB 10810.3 5.5</w:t>
            </w:r>
            <w:r>
              <w:rPr>
                <w:rFonts w:hint="eastAsia" w:ascii="宋体" w:hAnsi="宋体" w:cs="宋体"/>
                <w:color w:val="000000"/>
              </w:rPr>
              <w:t>要求，当定配眼镜明示可适合作驾驶镜时应符合</w:t>
            </w:r>
            <w:r>
              <w:rPr>
                <w:rFonts w:ascii="宋体" w:hAnsi="宋体" w:cs="宋体"/>
                <w:color w:val="000000"/>
              </w:rPr>
              <w:t>GB 10810.3 5.4</w:t>
            </w:r>
            <w:r>
              <w:rPr>
                <w:rFonts w:hint="eastAsia" w:ascii="宋体" w:hAnsi="宋体" w:cs="宋体"/>
                <w:color w:val="000000"/>
              </w:rPr>
              <w:t>要求。</w:t>
            </w:r>
          </w:p>
          <w:p>
            <w:pPr>
              <w:keepNext w:val="0"/>
              <w:keepLines w:val="0"/>
              <w:pageBreakBefore w:val="0"/>
              <w:kinsoku/>
              <w:wordWrap/>
              <w:overflowPunct/>
              <w:topLinePunct w:val="0"/>
              <w:bidi w:val="0"/>
              <w:adjustRightInd/>
              <w:snapToGrid w:val="0"/>
              <w:spacing w:line="560" w:lineRule="exact"/>
              <w:ind w:right="-28" w:firstLine="420" w:firstLineChars="200"/>
              <w:textAlignment w:val="auto"/>
              <w:rPr>
                <w:rFonts w:ascii="宋体" w:hAnsi="宋体" w:cs="宋体"/>
                <w:color w:val="000000"/>
              </w:rPr>
            </w:pPr>
            <w:r>
              <w:rPr>
                <w:rFonts w:ascii="宋体" w:hAnsi="宋体" w:cs="宋体"/>
                <w:color w:val="000000"/>
              </w:rPr>
              <w:t>2.</w:t>
            </w:r>
            <w:r>
              <w:rPr>
                <w:rFonts w:hint="eastAsia" w:ascii="宋体" w:hAnsi="宋体" w:cs="宋体"/>
                <w:color w:val="000000"/>
              </w:rPr>
              <w:t>标志</w:t>
            </w:r>
            <w:r>
              <w:rPr>
                <w:rFonts w:ascii="宋体" w:hAnsi="宋体" w:cs="宋体"/>
                <w:color w:val="000000"/>
              </w:rPr>
              <w:t>1</w:t>
            </w:r>
            <w:r>
              <w:rPr>
                <w:rFonts w:hint="eastAsia" w:ascii="宋体" w:hAnsi="宋体" w:cs="宋体"/>
                <w:color w:val="000000"/>
              </w:rPr>
              <w:t>项目包括定配眼镜的顶焦度、轴位、瞳距等涉及处方、标准中要求有标称值的参数。</w:t>
            </w:r>
          </w:p>
          <w:p>
            <w:pPr>
              <w:keepNext w:val="0"/>
              <w:keepLines w:val="0"/>
              <w:pageBreakBefore w:val="0"/>
              <w:kinsoku/>
              <w:wordWrap/>
              <w:overflowPunct/>
              <w:topLinePunct w:val="0"/>
              <w:bidi w:val="0"/>
              <w:adjustRightInd/>
              <w:snapToGrid w:val="0"/>
              <w:spacing w:line="560" w:lineRule="exact"/>
              <w:ind w:right="-28" w:firstLine="420" w:firstLineChars="200"/>
              <w:textAlignment w:val="auto"/>
              <w:rPr>
                <w:rFonts w:ascii="宋体" w:hAnsi="宋体" w:cs="宋体"/>
                <w:color w:val="000000"/>
              </w:rPr>
            </w:pPr>
            <w:r>
              <w:rPr>
                <w:rFonts w:ascii="宋体" w:hAnsi="宋体" w:cs="宋体"/>
                <w:color w:val="000000"/>
              </w:rPr>
              <w:t>3.</w:t>
            </w:r>
            <w:r>
              <w:rPr>
                <w:rFonts w:hint="eastAsia" w:ascii="宋体" w:hAnsi="宋体" w:cs="宋体"/>
                <w:color w:val="000000"/>
              </w:rPr>
              <w:t>标志</w:t>
            </w:r>
            <w:r>
              <w:rPr>
                <w:rFonts w:ascii="宋体" w:hAnsi="宋体" w:cs="宋体"/>
                <w:color w:val="000000"/>
              </w:rPr>
              <w:t>2</w:t>
            </w:r>
            <w:r>
              <w:rPr>
                <w:rFonts w:hint="eastAsia" w:ascii="宋体" w:hAnsi="宋体" w:cs="宋体"/>
                <w:color w:val="000000"/>
              </w:rPr>
              <w:t>项目包括生产企业的名称和地址、产品执行标准。</w:t>
            </w:r>
          </w:p>
          <w:p>
            <w:pPr>
              <w:keepNext w:val="0"/>
              <w:keepLines w:val="0"/>
              <w:pageBreakBefore w:val="0"/>
              <w:kinsoku/>
              <w:wordWrap/>
              <w:overflowPunct/>
              <w:topLinePunct w:val="0"/>
              <w:bidi w:val="0"/>
              <w:adjustRightInd/>
              <w:snapToGrid w:val="0"/>
              <w:spacing w:line="560" w:lineRule="exact"/>
              <w:ind w:right="-28" w:firstLine="420" w:firstLineChars="200"/>
              <w:textAlignment w:val="auto"/>
              <w:rPr>
                <w:rFonts w:ascii="宋体" w:hAnsi="宋体" w:cs="宋体"/>
                <w:color w:val="000000"/>
              </w:rPr>
            </w:pPr>
            <w:r>
              <w:rPr>
                <w:rFonts w:ascii="宋体" w:hAnsi="宋体" w:cs="宋体"/>
                <w:color w:val="000000"/>
              </w:rPr>
              <w:t>4.</w:t>
            </w:r>
            <w:r>
              <w:rPr>
                <w:rFonts w:hint="eastAsia" w:ascii="宋体" w:hAnsi="宋体" w:cs="宋体"/>
                <w:color w:val="000000"/>
              </w:rPr>
              <w:t>当处方中包含本表中未列的参数，这些参数也应符合</w:t>
            </w:r>
            <w:r>
              <w:rPr>
                <w:rFonts w:ascii="宋体" w:hAnsi="宋体" w:cs="宋体"/>
                <w:color w:val="000000"/>
              </w:rPr>
              <w:t>GB13511.1</w:t>
            </w:r>
            <w:r>
              <w:rPr>
                <w:rFonts w:hint="eastAsia" w:ascii="宋体" w:hAnsi="宋体" w:cs="宋体"/>
                <w:color w:val="000000"/>
              </w:rPr>
              <w:t>要求。</w:t>
            </w:r>
          </w:p>
          <w:p>
            <w:pPr>
              <w:keepNext w:val="0"/>
              <w:keepLines w:val="0"/>
              <w:pageBreakBefore w:val="0"/>
              <w:kinsoku/>
              <w:wordWrap/>
              <w:overflowPunct/>
              <w:topLinePunct w:val="0"/>
              <w:bidi w:val="0"/>
              <w:adjustRightInd/>
              <w:snapToGrid w:val="0"/>
              <w:spacing w:line="560" w:lineRule="exact"/>
              <w:ind w:right="-28" w:firstLine="420" w:firstLineChars="200"/>
              <w:textAlignment w:val="auto"/>
              <w:rPr>
                <w:rFonts w:ascii="宋体" w:hAnsi="宋体"/>
                <w:color w:val="000000"/>
              </w:rPr>
            </w:pPr>
            <w:r>
              <w:rPr>
                <w:rFonts w:hint="eastAsia" w:ascii="宋体" w:hAnsi="宋体" w:cs="宋体"/>
                <w:color w:val="000000"/>
              </w:rPr>
              <w:t>5. 如果样品标注的信息不全，必须在抽样单上确认该产品的基本类别和型号规格，并由生产企业盖章或签字确认。</w:t>
            </w:r>
          </w:p>
        </w:tc>
      </w:tr>
    </w:tbl>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hint="eastAsia" w:ascii="Times New Roman" w:hAnsi="Times New Roman" w:eastAsia="仿宋_GB2312"/>
          <w:sz w:val="30"/>
          <w:szCs w:val="30"/>
        </w:rPr>
        <w:t>注：1.执行企业标准、团体标准、地方标准的产品，检验项目参照上述内容执行。</w:t>
      </w: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hint="eastAsia" w:ascii="Times New Roman" w:hAnsi="Times New Roman" w:eastAsia="仿宋_GB2312"/>
          <w:sz w:val="30"/>
          <w:szCs w:val="30"/>
        </w:rPr>
        <w:t>2.凡是注日期的文件，其随后所有的修改单（不包括勘误的内容）或修订版不适用于本细则。凡是不注日期的文件，其最新版本适用于本细则。</w:t>
      </w: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hint="eastAsia" w:ascii="方正黑体_GBK" w:hAnsi="方正黑体_GBK" w:eastAsia="方正黑体_GBK" w:cs="方正黑体_GBK"/>
          <w:sz w:val="30"/>
          <w:szCs w:val="30"/>
        </w:rPr>
        <w:t>三、判定规则</w:t>
      </w: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楷体_GB2312"/>
          <w:sz w:val="30"/>
          <w:szCs w:val="30"/>
        </w:rPr>
      </w:pPr>
      <w:r>
        <w:rPr>
          <w:rFonts w:hint="eastAsia" w:ascii="Times New Roman" w:hAnsi="Times New Roman" w:eastAsia="楷体_GB2312"/>
          <w:sz w:val="30"/>
          <w:szCs w:val="30"/>
        </w:rPr>
        <w:t>（一）依据标准</w:t>
      </w: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ascii="Times New Roman" w:hAnsi="Times New Roman" w:eastAsia="仿宋_GB2312"/>
          <w:sz w:val="30"/>
          <w:szCs w:val="30"/>
        </w:rPr>
        <w:t>1</w:t>
      </w:r>
      <w:r>
        <w:rPr>
          <w:rFonts w:hint="eastAsia" w:ascii="Times New Roman" w:hAnsi="Times New Roman" w:eastAsia="仿宋_GB2312"/>
          <w:sz w:val="30"/>
          <w:szCs w:val="30"/>
        </w:rPr>
        <w:t>．</w:t>
      </w:r>
      <w:r>
        <w:rPr>
          <w:rFonts w:ascii="Times New Roman" w:hAnsi="Times New Roman" w:eastAsia="仿宋_GB2312"/>
          <w:sz w:val="30"/>
          <w:szCs w:val="30"/>
        </w:rPr>
        <w:t>强制性标准：</w:t>
      </w: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 10810.1-2005  眼镜镜片 第1部分:单光和多焦点镜片</w:t>
      </w: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 10810.3-2006  眼镜镜片及相关眼镜产品 第3部分:透射比规范及测量方法</w:t>
      </w:r>
      <w:bookmarkStart w:id="0" w:name="_GoBack"/>
      <w:bookmarkEnd w:id="0"/>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 13511.1-2011  配装眼镜 第1部分：单光和多焦点</w:t>
      </w: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hint="eastAsia" w:ascii="仿宋_GB2312" w:hAnsi="仿宋_GB2312" w:eastAsia="仿宋_GB2312" w:cs="仿宋_GB2312"/>
          <w:sz w:val="30"/>
          <w:szCs w:val="30"/>
        </w:rPr>
        <w:t>2．现行有效的企业标准</w:t>
      </w:r>
      <w:r>
        <w:rPr>
          <w:rFonts w:ascii="Times New Roman" w:hAnsi="Times New Roman" w:eastAsia="仿宋_GB2312"/>
          <w:sz w:val="30"/>
          <w:szCs w:val="30"/>
        </w:rPr>
        <w:t>和产品明示指标或其他相适应的产品标准。</w:t>
      </w: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楷体_GB2312"/>
          <w:sz w:val="30"/>
          <w:szCs w:val="30"/>
        </w:rPr>
      </w:pPr>
      <w:r>
        <w:rPr>
          <w:rFonts w:ascii="Times New Roman" w:hAnsi="Times New Roman" w:eastAsia="楷体_GB2312"/>
          <w:sz w:val="30"/>
          <w:szCs w:val="30"/>
        </w:rPr>
        <w:t>（二）判定原则</w:t>
      </w: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ascii="Times New Roman" w:hAnsi="Times New Roman" w:eastAsia="仿宋_GB2312"/>
          <w:sz w:val="30"/>
          <w:szCs w:val="30"/>
        </w:rPr>
        <w:t>经检验，检验项目全部合格，判定为抽取的样本所检项目未检出不合格；检验项目中任一项或一项以上不合格，判定为被抽查产品不合格。</w:t>
      </w: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ascii="Times New Roman" w:hAnsi="Times New Roman" w:eastAsia="仿宋_GB2312"/>
          <w:sz w:val="30"/>
          <w:szCs w:val="30"/>
        </w:rPr>
        <w:t>当被检样品明示的质量要求优于监督抽查实施细则中依据的标准要求时，应按被检样品明示的质量要求判定。</w:t>
      </w: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ascii="Times New Roman" w:hAnsi="Times New Roman" w:eastAsia="仿宋_GB2312"/>
          <w:sz w:val="30"/>
          <w:szCs w:val="30"/>
        </w:rPr>
        <w:t>当被检样品明示的质量要求劣于或不包含监督抽查实施细则中依据的强制性标准要求时，应按照强制性标准要求判定。</w:t>
      </w:r>
    </w:p>
    <w:p>
      <w:pPr>
        <w:pStyle w:val="62"/>
        <w:keepNext w:val="0"/>
        <w:keepLines w:val="0"/>
        <w:pageBreakBefore w:val="0"/>
        <w:widowControl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ascii="Times New Roman" w:hAnsi="Times New Roman" w:eastAsia="仿宋_GB2312"/>
          <w:sz w:val="30"/>
          <w:szCs w:val="30"/>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62"/>
        <w:keepNext w:val="0"/>
        <w:keepLines w:val="0"/>
        <w:pageBreakBefore w:val="0"/>
        <w:widowControl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ascii="Times New Roman" w:hAnsi="Times New Roman" w:eastAsia="仿宋_GB2312"/>
          <w:sz w:val="30"/>
          <w:szCs w:val="30"/>
        </w:rPr>
        <w:t>当被检样品明示的质量要求不包含监督抽查实施细则中依据的推荐性标准要求时，该指标不参与判定，但应在检验报告中作出说明。</w:t>
      </w:r>
    </w:p>
    <w:p>
      <w:pPr>
        <w:pStyle w:val="62"/>
        <w:keepNext w:val="0"/>
        <w:keepLines w:val="0"/>
        <w:pageBreakBefore w:val="0"/>
        <w:widowControl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ascii="Times New Roman" w:hAnsi="Times New Roman" w:eastAsia="仿宋_GB2312"/>
          <w:sz w:val="30"/>
          <w:szCs w:val="30"/>
        </w:rPr>
        <w:t>当被检样品未能提供有效的企业标准时，按相关国家或行业标准进行判定。</w:t>
      </w:r>
    </w:p>
    <w:p>
      <w:pPr>
        <w:pStyle w:val="62"/>
        <w:keepNext w:val="0"/>
        <w:keepLines w:val="0"/>
        <w:pageBreakBefore w:val="0"/>
        <w:widowControl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ascii="Times New Roman" w:hAnsi="Times New Roman" w:eastAsia="仿宋_GB2312"/>
          <w:sz w:val="30"/>
          <w:szCs w:val="30"/>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62"/>
        <w:keepNext w:val="0"/>
        <w:keepLines w:val="0"/>
        <w:pageBreakBefore w:val="0"/>
        <w:widowControl w:val="0"/>
        <w:tabs>
          <w:tab w:val="clear" w:pos="4201"/>
          <w:tab w:val="clear" w:pos="9298"/>
        </w:tabs>
        <w:kinsoku/>
        <w:wordWrap/>
        <w:overflowPunct/>
        <w:topLinePunct w:val="0"/>
        <w:bidi w:val="0"/>
        <w:adjustRightInd/>
        <w:spacing w:line="560" w:lineRule="exact"/>
        <w:ind w:firstLine="600"/>
        <w:textAlignment w:val="auto"/>
        <w:rPr>
          <w:rFonts w:ascii="Times New Roman" w:hAnsi="Times New Roman" w:eastAsia="仿宋_GB2312"/>
          <w:sz w:val="30"/>
          <w:szCs w:val="30"/>
        </w:rPr>
      </w:pPr>
      <w:r>
        <w:rPr>
          <w:rFonts w:ascii="Times New Roman" w:hAnsi="Times New Roman" w:eastAsia="仿宋_GB2312"/>
          <w:sz w:val="30"/>
          <w:szCs w:val="30"/>
        </w:rPr>
        <w:t>按照产品质量相关法律法规的规定判定。</w:t>
      </w:r>
    </w:p>
    <w:p>
      <w:pPr>
        <w:pStyle w:val="62"/>
        <w:keepNext w:val="0"/>
        <w:keepLines w:val="0"/>
        <w:pageBreakBefore w:val="0"/>
        <w:tabs>
          <w:tab w:val="clear" w:pos="4201"/>
          <w:tab w:val="clear" w:pos="9298"/>
        </w:tabs>
        <w:kinsoku/>
        <w:wordWrap/>
        <w:overflowPunct/>
        <w:topLinePunct w:val="0"/>
        <w:bidi w:val="0"/>
        <w:adjustRightInd/>
        <w:spacing w:line="560" w:lineRule="exact"/>
        <w:ind w:firstLine="600"/>
        <w:textAlignment w:val="auto"/>
        <w:rPr>
          <w:sz w:val="30"/>
          <w:szCs w:val="30"/>
        </w:rPr>
      </w:pPr>
      <w:r>
        <w:rPr>
          <w:rFonts w:ascii="Times New Roman" w:hAnsi="Times New Roman" w:eastAsia="仿宋_GB2312"/>
          <w:sz w:val="30"/>
          <w:szCs w:val="30"/>
        </w:rPr>
        <w:t>检验中发现因样品失效或者其他原因致使检验无法进行的，检验人员应如实记录，并提供相关证明材料，报送组织监督抽查的市场监管部门。</w:t>
      </w:r>
    </w:p>
    <w:p>
      <w:pPr>
        <w:keepNext w:val="0"/>
        <w:keepLines w:val="0"/>
        <w:pageBreakBefore w:val="0"/>
        <w:kinsoku/>
        <w:wordWrap/>
        <w:overflowPunct/>
        <w:topLinePunct w:val="0"/>
        <w:bidi w:val="0"/>
        <w:adjustRightInd/>
        <w:spacing w:line="560" w:lineRule="exact"/>
        <w:jc w:val="center"/>
        <w:textAlignment w:val="auto"/>
        <w:rPr>
          <w:rFonts w:eastAsia="方正小标宋简体" w:cs="方正仿宋简体"/>
          <w:color w:val="000000"/>
          <w:sz w:val="30"/>
          <w:szCs w:val="30"/>
        </w:rPr>
      </w:pPr>
    </w:p>
    <w:sectPr>
      <w:headerReference r:id="rId3" w:type="default"/>
      <w:footerReference r:id="rId4" w:type="default"/>
      <w:pgSz w:w="11906" w:h="16838"/>
      <w:pgMar w:top="2098" w:right="1361"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Verdana">
    <w:altName w:val="DejaVu Sans"/>
    <w:panose1 w:val="020B0604030504040204"/>
    <w:charset w:val="00"/>
    <w:family w:val="swiss"/>
    <w:pitch w:val="default"/>
    <w:sig w:usb0="00000000" w:usb1="00000000" w:usb2="00000010" w:usb3="00000000" w:csb0="2000019F" w:csb1="00000000"/>
  </w:font>
  <w:font w:name="FZFangSong-Z02">
    <w:panose1 w:val="02000000000000000000"/>
    <w:charset w:val="86"/>
    <w:family w:val="script"/>
    <w:pitch w:val="default"/>
    <w:sig w:usb0="00000001" w:usb1="08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altName w:val="方正仿宋_GBK"/>
    <w:panose1 w:val="00000000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lang w:val="zh-CN"/>
      </w:rPr>
      <w:t xml:space="preserve"> </w:t>
    </w:r>
    <w:r>
      <w:rPr>
        <w:b/>
        <w:bCs/>
      </w:rPr>
      <w:fldChar w:fldCharType="begin"/>
    </w:r>
    <w:r>
      <w:rPr>
        <w:b/>
        <w:bCs/>
      </w:rPr>
      <w:instrText xml:space="preserve">PAGE</w:instrText>
    </w:r>
    <w:r>
      <w:rPr>
        <w:b/>
        <w:bCs/>
      </w:rPr>
      <w:fldChar w:fldCharType="separate"/>
    </w:r>
    <w:r>
      <w:rPr>
        <w:b/>
        <w:bCs/>
      </w:rPr>
      <w:t>1</w:t>
    </w:r>
    <w:r>
      <w:rPr>
        <w:b/>
        <w:bCs/>
      </w:rPr>
      <w:fldChar w:fldCharType="end"/>
    </w:r>
    <w:r>
      <w:rPr>
        <w:lang w:val="zh-CN"/>
      </w:rPr>
      <w:t xml:space="preserve"> / </w:t>
    </w:r>
    <w:r>
      <w:rPr>
        <w:b/>
        <w:bCs/>
      </w:rPr>
      <w:fldChar w:fldCharType="begin"/>
    </w:r>
    <w:r>
      <w:rPr>
        <w:b/>
        <w:bCs/>
      </w:rPr>
      <w:instrText xml:space="preserve">NUMPAGES</w:instrText>
    </w:r>
    <w:r>
      <w:rPr>
        <w:b/>
        <w:bCs/>
      </w:rPr>
      <w:fldChar w:fldCharType="separate"/>
    </w:r>
    <w:r>
      <w:rPr>
        <w:b/>
        <w:bCs/>
      </w:rPr>
      <w:t>3</w:t>
    </w:r>
    <w:r>
      <w:rPr>
        <w:b/>
        <w:bCs/>
      </w:rP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4BEC"/>
    <w:rsid w:val="00012DBD"/>
    <w:rsid w:val="00031E2F"/>
    <w:rsid w:val="0003381B"/>
    <w:rsid w:val="0006438B"/>
    <w:rsid w:val="00065A36"/>
    <w:rsid w:val="000760E6"/>
    <w:rsid w:val="00082D33"/>
    <w:rsid w:val="000906F0"/>
    <w:rsid w:val="000C1F7C"/>
    <w:rsid w:val="000C2B78"/>
    <w:rsid w:val="000C3159"/>
    <w:rsid w:val="000C6D62"/>
    <w:rsid w:val="000D12DE"/>
    <w:rsid w:val="000D4CC9"/>
    <w:rsid w:val="000D7050"/>
    <w:rsid w:val="000F4276"/>
    <w:rsid w:val="00105066"/>
    <w:rsid w:val="00117D94"/>
    <w:rsid w:val="001345CA"/>
    <w:rsid w:val="001421BB"/>
    <w:rsid w:val="00152E35"/>
    <w:rsid w:val="00154D1A"/>
    <w:rsid w:val="00165896"/>
    <w:rsid w:val="0016645E"/>
    <w:rsid w:val="001C6E11"/>
    <w:rsid w:val="001F16D2"/>
    <w:rsid w:val="001F5D8E"/>
    <w:rsid w:val="00202004"/>
    <w:rsid w:val="002077AE"/>
    <w:rsid w:val="00230053"/>
    <w:rsid w:val="002354C8"/>
    <w:rsid w:val="00250D2C"/>
    <w:rsid w:val="00252028"/>
    <w:rsid w:val="00281562"/>
    <w:rsid w:val="00282629"/>
    <w:rsid w:val="002C28D5"/>
    <w:rsid w:val="002C32FD"/>
    <w:rsid w:val="002D37EC"/>
    <w:rsid w:val="002F0AB5"/>
    <w:rsid w:val="00313D34"/>
    <w:rsid w:val="00320CA9"/>
    <w:rsid w:val="00324293"/>
    <w:rsid w:val="003268EB"/>
    <w:rsid w:val="00346962"/>
    <w:rsid w:val="003640D5"/>
    <w:rsid w:val="0036507D"/>
    <w:rsid w:val="003807B4"/>
    <w:rsid w:val="003A5720"/>
    <w:rsid w:val="003C04AC"/>
    <w:rsid w:val="003C66B6"/>
    <w:rsid w:val="003D3B68"/>
    <w:rsid w:val="003E1B71"/>
    <w:rsid w:val="003E2D1C"/>
    <w:rsid w:val="003F09E1"/>
    <w:rsid w:val="003F0F6D"/>
    <w:rsid w:val="0040010B"/>
    <w:rsid w:val="0040133A"/>
    <w:rsid w:val="00405630"/>
    <w:rsid w:val="00422210"/>
    <w:rsid w:val="00432751"/>
    <w:rsid w:val="004351C9"/>
    <w:rsid w:val="00436DEE"/>
    <w:rsid w:val="00453F9E"/>
    <w:rsid w:val="004816D2"/>
    <w:rsid w:val="00484E10"/>
    <w:rsid w:val="004C77C6"/>
    <w:rsid w:val="004D04FB"/>
    <w:rsid w:val="004D40C9"/>
    <w:rsid w:val="00513877"/>
    <w:rsid w:val="00515BBC"/>
    <w:rsid w:val="00524BEC"/>
    <w:rsid w:val="00532355"/>
    <w:rsid w:val="0053459A"/>
    <w:rsid w:val="0053792B"/>
    <w:rsid w:val="00541FEC"/>
    <w:rsid w:val="005444D8"/>
    <w:rsid w:val="00564C00"/>
    <w:rsid w:val="0058152C"/>
    <w:rsid w:val="00585751"/>
    <w:rsid w:val="00585C11"/>
    <w:rsid w:val="005B4919"/>
    <w:rsid w:val="00603BB3"/>
    <w:rsid w:val="00610F00"/>
    <w:rsid w:val="00613588"/>
    <w:rsid w:val="00625EB5"/>
    <w:rsid w:val="00633A4C"/>
    <w:rsid w:val="0063671B"/>
    <w:rsid w:val="00652CC5"/>
    <w:rsid w:val="00663201"/>
    <w:rsid w:val="00684B9D"/>
    <w:rsid w:val="006A33D8"/>
    <w:rsid w:val="006A5088"/>
    <w:rsid w:val="006B1D1D"/>
    <w:rsid w:val="006B2095"/>
    <w:rsid w:val="006B23AD"/>
    <w:rsid w:val="006C7F42"/>
    <w:rsid w:val="006E4834"/>
    <w:rsid w:val="00720A05"/>
    <w:rsid w:val="00724A26"/>
    <w:rsid w:val="00730694"/>
    <w:rsid w:val="00744363"/>
    <w:rsid w:val="00746048"/>
    <w:rsid w:val="0076079A"/>
    <w:rsid w:val="00760D1D"/>
    <w:rsid w:val="00762DA4"/>
    <w:rsid w:val="007758C0"/>
    <w:rsid w:val="00783D50"/>
    <w:rsid w:val="0078413F"/>
    <w:rsid w:val="007A0EA4"/>
    <w:rsid w:val="007A26EF"/>
    <w:rsid w:val="007B1497"/>
    <w:rsid w:val="007D666D"/>
    <w:rsid w:val="007F28B4"/>
    <w:rsid w:val="007F4791"/>
    <w:rsid w:val="00824D8B"/>
    <w:rsid w:val="00830CE6"/>
    <w:rsid w:val="00853DE8"/>
    <w:rsid w:val="008A4A4F"/>
    <w:rsid w:val="008A63F3"/>
    <w:rsid w:val="008E7319"/>
    <w:rsid w:val="008F13A4"/>
    <w:rsid w:val="009040AD"/>
    <w:rsid w:val="009072DF"/>
    <w:rsid w:val="00926D9E"/>
    <w:rsid w:val="00931944"/>
    <w:rsid w:val="00934D3B"/>
    <w:rsid w:val="00937305"/>
    <w:rsid w:val="0095551F"/>
    <w:rsid w:val="00975F5A"/>
    <w:rsid w:val="00985929"/>
    <w:rsid w:val="0098691A"/>
    <w:rsid w:val="009B1863"/>
    <w:rsid w:val="009B7660"/>
    <w:rsid w:val="009C4A4D"/>
    <w:rsid w:val="009E489A"/>
    <w:rsid w:val="009E5370"/>
    <w:rsid w:val="009E6611"/>
    <w:rsid w:val="009E774A"/>
    <w:rsid w:val="00A223CF"/>
    <w:rsid w:val="00A25175"/>
    <w:rsid w:val="00A253EE"/>
    <w:rsid w:val="00A52A79"/>
    <w:rsid w:val="00A80A8A"/>
    <w:rsid w:val="00A83AB1"/>
    <w:rsid w:val="00AB7E2D"/>
    <w:rsid w:val="00AD69C7"/>
    <w:rsid w:val="00B14220"/>
    <w:rsid w:val="00B24959"/>
    <w:rsid w:val="00B31544"/>
    <w:rsid w:val="00B41908"/>
    <w:rsid w:val="00B758AC"/>
    <w:rsid w:val="00B7713D"/>
    <w:rsid w:val="00B77928"/>
    <w:rsid w:val="00B80608"/>
    <w:rsid w:val="00B979A2"/>
    <w:rsid w:val="00BD0778"/>
    <w:rsid w:val="00BD37A5"/>
    <w:rsid w:val="00C015F9"/>
    <w:rsid w:val="00C025EA"/>
    <w:rsid w:val="00C0377C"/>
    <w:rsid w:val="00C043E3"/>
    <w:rsid w:val="00C04AC6"/>
    <w:rsid w:val="00C06767"/>
    <w:rsid w:val="00C222D2"/>
    <w:rsid w:val="00C320DD"/>
    <w:rsid w:val="00C55375"/>
    <w:rsid w:val="00C63413"/>
    <w:rsid w:val="00C66291"/>
    <w:rsid w:val="00C67ED1"/>
    <w:rsid w:val="00C72138"/>
    <w:rsid w:val="00C72C17"/>
    <w:rsid w:val="00C74B7D"/>
    <w:rsid w:val="00C90F2E"/>
    <w:rsid w:val="00CA4FBC"/>
    <w:rsid w:val="00CB2931"/>
    <w:rsid w:val="00CD6E34"/>
    <w:rsid w:val="00CF7D16"/>
    <w:rsid w:val="00D168AE"/>
    <w:rsid w:val="00D1766C"/>
    <w:rsid w:val="00D31132"/>
    <w:rsid w:val="00D451A0"/>
    <w:rsid w:val="00D476E5"/>
    <w:rsid w:val="00D64DAA"/>
    <w:rsid w:val="00D72CFE"/>
    <w:rsid w:val="00D76607"/>
    <w:rsid w:val="00D8182B"/>
    <w:rsid w:val="00D86982"/>
    <w:rsid w:val="00D87B1B"/>
    <w:rsid w:val="00D934EB"/>
    <w:rsid w:val="00DB217D"/>
    <w:rsid w:val="00DD50E8"/>
    <w:rsid w:val="00DD521B"/>
    <w:rsid w:val="00DD68EA"/>
    <w:rsid w:val="00DD6ED5"/>
    <w:rsid w:val="00DE1A00"/>
    <w:rsid w:val="00E32F11"/>
    <w:rsid w:val="00E53227"/>
    <w:rsid w:val="00EA0DE4"/>
    <w:rsid w:val="00EB3CD4"/>
    <w:rsid w:val="00EC7EE0"/>
    <w:rsid w:val="00EF7C78"/>
    <w:rsid w:val="00F0265C"/>
    <w:rsid w:val="00F11F2D"/>
    <w:rsid w:val="00F134B1"/>
    <w:rsid w:val="00F23CDC"/>
    <w:rsid w:val="00F27B3D"/>
    <w:rsid w:val="00F365B0"/>
    <w:rsid w:val="00F42A1F"/>
    <w:rsid w:val="00F434E7"/>
    <w:rsid w:val="00F51D34"/>
    <w:rsid w:val="00F56182"/>
    <w:rsid w:val="00F60C7C"/>
    <w:rsid w:val="00F611C3"/>
    <w:rsid w:val="00F67319"/>
    <w:rsid w:val="00F73E4B"/>
    <w:rsid w:val="00F813EF"/>
    <w:rsid w:val="00F86097"/>
    <w:rsid w:val="00FC0E4C"/>
    <w:rsid w:val="00FC2555"/>
    <w:rsid w:val="00FC5119"/>
    <w:rsid w:val="00FE33D6"/>
    <w:rsid w:val="0D446B34"/>
    <w:rsid w:val="469B1FDD"/>
    <w:rsid w:val="4DBF7A6A"/>
    <w:rsid w:val="64B425A2"/>
    <w:rsid w:val="771C5B19"/>
    <w:rsid w:val="7ABF3B65"/>
    <w:rsid w:val="7DDF6AA3"/>
    <w:rsid w:val="E8DDADE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ocked="1"/>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qFormat="1" w:unhideWhenUsed="0" w:uiPriority="99" w:semiHidden="0" w:name="Body Text Indent 3"/>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4"/>
    <w:qFormat/>
    <w:uiPriority w:val="99"/>
    <w:pPr>
      <w:widowControl/>
      <w:jc w:val="center"/>
      <w:outlineLvl w:val="0"/>
    </w:pPr>
    <w:rPr>
      <w:rFonts w:ascii="宋体" w:hAnsi="宋体" w:cs="宋体"/>
      <w:b/>
      <w:bCs/>
      <w:color w:val="363737"/>
      <w:kern w:val="36"/>
      <w:sz w:val="25"/>
      <w:szCs w:val="25"/>
    </w:rPr>
  </w:style>
  <w:style w:type="paragraph" w:styleId="3">
    <w:name w:val="heading 3"/>
    <w:basedOn w:val="1"/>
    <w:next w:val="1"/>
    <w:link w:val="25"/>
    <w:qFormat/>
    <w:uiPriority w:val="99"/>
    <w:pPr>
      <w:widowControl/>
      <w:spacing w:before="100" w:beforeAutospacing="1" w:after="100" w:afterAutospacing="1"/>
      <w:jc w:val="left"/>
      <w:outlineLvl w:val="2"/>
    </w:pPr>
    <w:rPr>
      <w:rFonts w:ascii="宋体" w:hAnsi="宋体" w:cs="宋体"/>
      <w:b/>
      <w:bCs/>
      <w:kern w:val="0"/>
      <w:sz w:val="27"/>
      <w:szCs w:val="27"/>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7"/>
    <w:semiHidden/>
    <w:qFormat/>
    <w:uiPriority w:val="99"/>
    <w:pPr>
      <w:jc w:val="left"/>
    </w:pPr>
  </w:style>
  <w:style w:type="paragraph" w:styleId="5">
    <w:name w:val="Body Text Indent"/>
    <w:basedOn w:val="1"/>
    <w:link w:val="42"/>
    <w:qFormat/>
    <w:uiPriority w:val="99"/>
    <w:pPr>
      <w:adjustRightInd w:val="0"/>
      <w:snapToGrid w:val="0"/>
      <w:spacing w:line="440" w:lineRule="atLeast"/>
      <w:ind w:firstLine="570"/>
      <w:jc w:val="left"/>
      <w:textAlignment w:val="baseline"/>
    </w:pPr>
    <w:rPr>
      <w:rFonts w:ascii="仿宋_GB2312" w:hAnsi="宋体" w:eastAsia="仿宋_GB2312" w:cs="仿宋_GB2312"/>
      <w:kern w:val="0"/>
      <w:sz w:val="24"/>
      <w:szCs w:val="24"/>
    </w:rPr>
  </w:style>
  <w:style w:type="paragraph" w:styleId="6">
    <w:name w:val="Date"/>
    <w:basedOn w:val="1"/>
    <w:next w:val="1"/>
    <w:link w:val="43"/>
    <w:qFormat/>
    <w:uiPriority w:val="99"/>
    <w:pPr>
      <w:widowControl/>
    </w:pPr>
    <w:rPr>
      <w:rFonts w:ascii="仿宋_GB2312" w:eastAsia="仿宋_GB2312" w:cs="仿宋_GB2312"/>
      <w:kern w:val="0"/>
      <w:sz w:val="32"/>
      <w:szCs w:val="32"/>
    </w:rPr>
  </w:style>
  <w:style w:type="paragraph" w:styleId="7">
    <w:name w:val="Body Text Indent 2"/>
    <w:basedOn w:val="1"/>
    <w:link w:val="46"/>
    <w:qFormat/>
    <w:uiPriority w:val="99"/>
    <w:pPr>
      <w:spacing w:after="120" w:line="480" w:lineRule="auto"/>
      <w:ind w:left="420" w:leftChars="200"/>
    </w:pPr>
  </w:style>
  <w:style w:type="paragraph" w:styleId="8">
    <w:name w:val="Balloon Text"/>
    <w:basedOn w:val="1"/>
    <w:link w:val="45"/>
    <w:semiHidden/>
    <w:qFormat/>
    <w:uiPriority w:val="99"/>
    <w:rPr>
      <w:rFonts w:ascii="Calibri" w:hAnsi="Calibri" w:cs="Calibri"/>
      <w:kern w:val="0"/>
      <w:sz w:val="18"/>
      <w:szCs w:val="18"/>
    </w:rPr>
  </w:style>
  <w:style w:type="paragraph" w:styleId="9">
    <w:name w:val="footer"/>
    <w:basedOn w:val="1"/>
    <w:link w:val="47"/>
    <w:qFormat/>
    <w:uiPriority w:val="99"/>
    <w:pPr>
      <w:tabs>
        <w:tab w:val="center" w:pos="4153"/>
        <w:tab w:val="right" w:pos="8306"/>
      </w:tabs>
      <w:snapToGrid w:val="0"/>
      <w:jc w:val="left"/>
    </w:pPr>
    <w:rPr>
      <w:sz w:val="18"/>
      <w:szCs w:val="18"/>
    </w:rPr>
  </w:style>
  <w:style w:type="paragraph" w:styleId="10">
    <w:name w:val="header"/>
    <w:basedOn w:val="1"/>
    <w:link w:val="41"/>
    <w:qFormat/>
    <w:uiPriority w:val="99"/>
    <w:pPr>
      <w:pBdr>
        <w:bottom w:val="single" w:color="auto" w:sz="6" w:space="1"/>
      </w:pBdr>
      <w:tabs>
        <w:tab w:val="center" w:pos="4153"/>
        <w:tab w:val="right" w:pos="8306"/>
      </w:tabs>
      <w:snapToGrid w:val="0"/>
      <w:jc w:val="center"/>
    </w:pPr>
    <w:rPr>
      <w:rFonts w:ascii="Calibri" w:hAnsi="Calibri" w:cs="Calibri"/>
      <w:kern w:val="0"/>
      <w:sz w:val="18"/>
      <w:szCs w:val="18"/>
    </w:rPr>
  </w:style>
  <w:style w:type="paragraph" w:styleId="11">
    <w:name w:val="Body Text Indent 3"/>
    <w:basedOn w:val="1"/>
    <w:link w:val="48"/>
    <w:qFormat/>
    <w:uiPriority w:val="99"/>
    <w:pPr>
      <w:snapToGrid w:val="0"/>
      <w:spacing w:line="440" w:lineRule="exact"/>
      <w:ind w:firstLine="420" w:firstLineChars="200"/>
    </w:pPr>
    <w:rPr>
      <w:rFonts w:ascii="宋体" w:hAnsi="宋体" w:cs="宋体"/>
    </w:rPr>
  </w:style>
  <w:style w:type="paragraph" w:styleId="12">
    <w:name w:val="HTML Preformatted"/>
    <w:basedOn w:val="1"/>
    <w:link w:val="49"/>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4">
    <w:name w:val="annotation subject"/>
    <w:basedOn w:val="4"/>
    <w:next w:val="4"/>
    <w:link w:val="39"/>
    <w:semiHidden/>
    <w:qFormat/>
    <w:uiPriority w:val="99"/>
    <w:rPr>
      <w:rFonts w:ascii="Calibri" w:hAnsi="Calibri" w:cs="Calibri"/>
      <w:b/>
      <w:bCs/>
      <w:kern w:val="0"/>
      <w:sz w:val="24"/>
      <w:szCs w:val="24"/>
    </w:rPr>
  </w:style>
  <w:style w:type="table" w:styleId="16">
    <w:name w:val="Table Grid"/>
    <w:basedOn w:val="15"/>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qFormat/>
    <w:uiPriority w:val="99"/>
    <w:rPr>
      <w:rFonts w:cs="Times New Roman"/>
      <w:b/>
      <w:bCs/>
    </w:rPr>
  </w:style>
  <w:style w:type="character" w:styleId="19">
    <w:name w:val="page number"/>
    <w:qFormat/>
    <w:uiPriority w:val="99"/>
    <w:rPr>
      <w:rFonts w:cs="Times New Roman"/>
    </w:rPr>
  </w:style>
  <w:style w:type="character" w:styleId="20">
    <w:name w:val="FollowedHyperlink"/>
    <w:qFormat/>
    <w:uiPriority w:val="99"/>
    <w:rPr>
      <w:rFonts w:cs="Times New Roman"/>
      <w:color w:val="800080"/>
      <w:u w:val="single"/>
    </w:rPr>
  </w:style>
  <w:style w:type="character" w:styleId="21">
    <w:name w:val="Emphasis"/>
    <w:qFormat/>
    <w:uiPriority w:val="99"/>
    <w:rPr>
      <w:rFonts w:cs="Times New Roman"/>
      <w:i/>
      <w:iCs/>
    </w:rPr>
  </w:style>
  <w:style w:type="character" w:styleId="22">
    <w:name w:val="Hyperlink"/>
    <w:qFormat/>
    <w:uiPriority w:val="99"/>
    <w:rPr>
      <w:rFonts w:cs="Times New Roman"/>
      <w:color w:val="0000FF"/>
      <w:u w:val="single"/>
    </w:rPr>
  </w:style>
  <w:style w:type="character" w:styleId="23">
    <w:name w:val="annotation reference"/>
    <w:semiHidden/>
    <w:qFormat/>
    <w:uiPriority w:val="99"/>
    <w:rPr>
      <w:rFonts w:cs="Times New Roman"/>
      <w:sz w:val="21"/>
      <w:szCs w:val="21"/>
    </w:rPr>
  </w:style>
  <w:style w:type="character" w:customStyle="1" w:styleId="24">
    <w:name w:val="标题 1 Char"/>
    <w:link w:val="2"/>
    <w:qFormat/>
    <w:locked/>
    <w:uiPriority w:val="99"/>
    <w:rPr>
      <w:rFonts w:ascii="宋体" w:hAnsi="宋体" w:eastAsia="宋体" w:cs="宋体"/>
      <w:b/>
      <w:bCs/>
      <w:color w:val="363737"/>
      <w:kern w:val="36"/>
      <w:sz w:val="25"/>
      <w:szCs w:val="25"/>
    </w:rPr>
  </w:style>
  <w:style w:type="character" w:customStyle="1" w:styleId="25">
    <w:name w:val="标题 3 Char"/>
    <w:link w:val="3"/>
    <w:qFormat/>
    <w:locked/>
    <w:uiPriority w:val="99"/>
    <w:rPr>
      <w:rFonts w:ascii="宋体" w:hAnsi="宋体" w:eastAsia="宋体" w:cs="宋体"/>
      <w:b/>
      <w:bCs/>
      <w:kern w:val="0"/>
      <w:sz w:val="27"/>
      <w:szCs w:val="27"/>
    </w:rPr>
  </w:style>
  <w:style w:type="character" w:customStyle="1" w:styleId="26">
    <w:name w:val="Char Char"/>
    <w:qFormat/>
    <w:locked/>
    <w:uiPriority w:val="99"/>
    <w:rPr>
      <w:rFonts w:ascii="宋体" w:hAnsi="宋体" w:eastAsia="宋体"/>
      <w:b/>
      <w:kern w:val="2"/>
      <w:sz w:val="18"/>
      <w:lang w:val="en-US" w:eastAsia="zh-CN"/>
    </w:rPr>
  </w:style>
  <w:style w:type="character" w:customStyle="1" w:styleId="27">
    <w:name w:val="Comment Subject Char"/>
    <w:qFormat/>
    <w:locked/>
    <w:uiPriority w:val="99"/>
    <w:rPr>
      <w:rFonts w:eastAsia="宋体"/>
      <w:b/>
      <w:sz w:val="24"/>
    </w:rPr>
  </w:style>
  <w:style w:type="character" w:customStyle="1" w:styleId="28">
    <w:name w:val="Char Char2"/>
    <w:qFormat/>
    <w:locked/>
    <w:uiPriority w:val="99"/>
    <w:rPr>
      <w:rFonts w:ascii="宋体" w:hAnsi="宋体" w:eastAsia="宋体"/>
      <w:kern w:val="2"/>
      <w:sz w:val="18"/>
    </w:rPr>
  </w:style>
  <w:style w:type="character" w:customStyle="1" w:styleId="29">
    <w:name w:val="Char Char21"/>
    <w:qFormat/>
    <w:uiPriority w:val="99"/>
    <w:rPr>
      <w:rFonts w:eastAsia="宋体"/>
      <w:kern w:val="2"/>
      <w:sz w:val="18"/>
    </w:rPr>
  </w:style>
  <w:style w:type="character" w:customStyle="1" w:styleId="30">
    <w:name w:val="apple-converted-space"/>
    <w:qFormat/>
    <w:uiPriority w:val="99"/>
    <w:rPr>
      <w:rFonts w:cs="Times New Roman"/>
    </w:rPr>
  </w:style>
  <w:style w:type="character" w:customStyle="1" w:styleId="31">
    <w:name w:val="Char Char1"/>
    <w:qFormat/>
    <w:locked/>
    <w:uiPriority w:val="99"/>
    <w:rPr>
      <w:rFonts w:eastAsia="宋体"/>
      <w:kern w:val="2"/>
      <w:sz w:val="18"/>
      <w:lang w:val="en-US" w:eastAsia="zh-CN"/>
    </w:rPr>
  </w:style>
  <w:style w:type="character" w:customStyle="1" w:styleId="32">
    <w:name w:val="Header Char"/>
    <w:qFormat/>
    <w:locked/>
    <w:uiPriority w:val="99"/>
    <w:rPr>
      <w:rFonts w:eastAsia="宋体"/>
      <w:sz w:val="18"/>
    </w:rPr>
  </w:style>
  <w:style w:type="character" w:customStyle="1" w:styleId="33">
    <w:name w:val="Balloon Text Char"/>
    <w:qFormat/>
    <w:locked/>
    <w:uiPriority w:val="99"/>
    <w:rPr>
      <w:rFonts w:eastAsia="宋体"/>
      <w:sz w:val="18"/>
    </w:rPr>
  </w:style>
  <w:style w:type="character" w:customStyle="1" w:styleId="34">
    <w:name w:val="con"/>
    <w:qFormat/>
    <w:uiPriority w:val="99"/>
    <w:rPr>
      <w:rFonts w:cs="Times New Roman"/>
    </w:rPr>
  </w:style>
  <w:style w:type="character" w:customStyle="1" w:styleId="35">
    <w:name w:val="clabel1"/>
    <w:qFormat/>
    <w:uiPriority w:val="99"/>
    <w:rPr>
      <w:color w:val="FF0000"/>
    </w:rPr>
  </w:style>
  <w:style w:type="character" w:customStyle="1" w:styleId="36">
    <w:name w:val="Char Char3"/>
    <w:qFormat/>
    <w:locked/>
    <w:uiPriority w:val="99"/>
    <w:rPr>
      <w:rFonts w:eastAsia="宋体"/>
      <w:kern w:val="2"/>
      <w:sz w:val="18"/>
      <w:lang w:val="en-US" w:eastAsia="zh-CN"/>
    </w:rPr>
  </w:style>
  <w:style w:type="character" w:customStyle="1" w:styleId="37">
    <w:name w:val="批注文字 Char"/>
    <w:link w:val="4"/>
    <w:semiHidden/>
    <w:qFormat/>
    <w:locked/>
    <w:uiPriority w:val="99"/>
    <w:rPr>
      <w:rFonts w:ascii="Times New Roman" w:hAnsi="Times New Roman" w:eastAsia="宋体" w:cs="Times New Roman"/>
      <w:sz w:val="24"/>
      <w:szCs w:val="24"/>
    </w:rPr>
  </w:style>
  <w:style w:type="character" w:customStyle="1" w:styleId="38">
    <w:name w:val="Comment Subject Char1"/>
    <w:semiHidden/>
    <w:qFormat/>
    <w:locked/>
    <w:uiPriority w:val="99"/>
    <w:rPr>
      <w:rFonts w:ascii="Times New Roman" w:hAnsi="Times New Roman" w:eastAsia="宋体" w:cs="Times New Roman"/>
      <w:b/>
      <w:bCs/>
      <w:sz w:val="21"/>
      <w:szCs w:val="21"/>
    </w:rPr>
  </w:style>
  <w:style w:type="character" w:customStyle="1" w:styleId="39">
    <w:name w:val="批注主题 Char"/>
    <w:link w:val="14"/>
    <w:semiHidden/>
    <w:qFormat/>
    <w:locked/>
    <w:uiPriority w:val="99"/>
    <w:rPr>
      <w:rFonts w:ascii="Times New Roman" w:hAnsi="Times New Roman" w:eastAsia="宋体" w:cs="Times New Roman"/>
      <w:b/>
      <w:bCs/>
      <w:sz w:val="24"/>
      <w:szCs w:val="24"/>
    </w:rPr>
  </w:style>
  <w:style w:type="character" w:customStyle="1" w:styleId="40">
    <w:name w:val="Header Char1"/>
    <w:semiHidden/>
    <w:qFormat/>
    <w:locked/>
    <w:uiPriority w:val="99"/>
    <w:rPr>
      <w:rFonts w:ascii="Times New Roman" w:hAnsi="Times New Roman" w:cs="Times New Roman"/>
      <w:sz w:val="18"/>
      <w:szCs w:val="18"/>
    </w:rPr>
  </w:style>
  <w:style w:type="character" w:customStyle="1" w:styleId="41">
    <w:name w:val="页眉 Char"/>
    <w:link w:val="10"/>
    <w:semiHidden/>
    <w:qFormat/>
    <w:locked/>
    <w:uiPriority w:val="99"/>
    <w:rPr>
      <w:rFonts w:ascii="Times New Roman" w:hAnsi="Times New Roman" w:eastAsia="宋体" w:cs="Times New Roman"/>
      <w:sz w:val="18"/>
      <w:szCs w:val="18"/>
    </w:rPr>
  </w:style>
  <w:style w:type="character" w:customStyle="1" w:styleId="42">
    <w:name w:val="正文文本缩进 Char"/>
    <w:link w:val="5"/>
    <w:qFormat/>
    <w:locked/>
    <w:uiPriority w:val="99"/>
    <w:rPr>
      <w:rFonts w:ascii="仿宋_GB2312" w:hAnsi="宋体" w:eastAsia="仿宋_GB2312" w:cs="仿宋_GB2312"/>
      <w:kern w:val="0"/>
      <w:sz w:val="20"/>
      <w:szCs w:val="20"/>
    </w:rPr>
  </w:style>
  <w:style w:type="character" w:customStyle="1" w:styleId="43">
    <w:name w:val="日期 Char"/>
    <w:link w:val="6"/>
    <w:qFormat/>
    <w:locked/>
    <w:uiPriority w:val="99"/>
    <w:rPr>
      <w:rFonts w:ascii="仿宋_GB2312" w:hAnsi="Times New Roman" w:eastAsia="仿宋_GB2312" w:cs="仿宋_GB2312"/>
      <w:kern w:val="0"/>
      <w:sz w:val="20"/>
      <w:szCs w:val="20"/>
    </w:rPr>
  </w:style>
  <w:style w:type="character" w:customStyle="1" w:styleId="44">
    <w:name w:val="Balloon Text Char1"/>
    <w:semiHidden/>
    <w:qFormat/>
    <w:locked/>
    <w:uiPriority w:val="99"/>
    <w:rPr>
      <w:rFonts w:ascii="Times New Roman" w:hAnsi="Times New Roman" w:cs="Times New Roman"/>
      <w:sz w:val="2"/>
      <w:szCs w:val="2"/>
    </w:rPr>
  </w:style>
  <w:style w:type="character" w:customStyle="1" w:styleId="45">
    <w:name w:val="批注框文本 Char"/>
    <w:link w:val="8"/>
    <w:semiHidden/>
    <w:qFormat/>
    <w:locked/>
    <w:uiPriority w:val="99"/>
    <w:rPr>
      <w:rFonts w:ascii="Times New Roman" w:hAnsi="Times New Roman" w:eastAsia="宋体" w:cs="Times New Roman"/>
      <w:sz w:val="18"/>
      <w:szCs w:val="18"/>
    </w:rPr>
  </w:style>
  <w:style w:type="character" w:customStyle="1" w:styleId="46">
    <w:name w:val="正文文本缩进 2 Char"/>
    <w:link w:val="7"/>
    <w:qFormat/>
    <w:locked/>
    <w:uiPriority w:val="99"/>
    <w:rPr>
      <w:rFonts w:ascii="Times New Roman" w:hAnsi="Times New Roman" w:eastAsia="宋体" w:cs="Times New Roman"/>
      <w:sz w:val="20"/>
      <w:szCs w:val="20"/>
    </w:rPr>
  </w:style>
  <w:style w:type="character" w:customStyle="1" w:styleId="47">
    <w:name w:val="页脚 Char"/>
    <w:link w:val="9"/>
    <w:qFormat/>
    <w:locked/>
    <w:uiPriority w:val="99"/>
    <w:rPr>
      <w:rFonts w:ascii="Times New Roman" w:hAnsi="Times New Roman" w:eastAsia="宋体" w:cs="Times New Roman"/>
      <w:sz w:val="18"/>
      <w:szCs w:val="18"/>
    </w:rPr>
  </w:style>
  <w:style w:type="character" w:customStyle="1" w:styleId="48">
    <w:name w:val="正文文本缩进 3 Char"/>
    <w:link w:val="11"/>
    <w:qFormat/>
    <w:locked/>
    <w:uiPriority w:val="99"/>
    <w:rPr>
      <w:rFonts w:ascii="宋体" w:hAnsi="宋体" w:eastAsia="宋体" w:cs="宋体"/>
      <w:sz w:val="21"/>
      <w:szCs w:val="21"/>
    </w:rPr>
  </w:style>
  <w:style w:type="character" w:customStyle="1" w:styleId="49">
    <w:name w:val="HTML 预设格式 Char"/>
    <w:link w:val="12"/>
    <w:qFormat/>
    <w:locked/>
    <w:uiPriority w:val="99"/>
    <w:rPr>
      <w:rFonts w:ascii="宋体" w:hAnsi="宋体" w:eastAsia="宋体" w:cs="宋体"/>
      <w:kern w:val="0"/>
      <w:sz w:val="24"/>
      <w:szCs w:val="24"/>
    </w:rPr>
  </w:style>
  <w:style w:type="paragraph" w:customStyle="1" w:styleId="50">
    <w:name w:val="封面标准名称"/>
    <w:qFormat/>
    <w:uiPriority w:val="99"/>
    <w:pPr>
      <w:framePr w:w="9638" w:h="6917" w:hRule="exact" w:wrap="auto" w:vAnchor="margin" w:hAnchor="margin" w:xAlign="center" w:y="5955" w:anchorLock="1"/>
      <w:widowControl w:val="0"/>
      <w:spacing w:line="680" w:lineRule="exact"/>
      <w:jc w:val="center"/>
      <w:textAlignment w:val="center"/>
    </w:pPr>
    <w:rPr>
      <w:rFonts w:ascii="黑体" w:hAnsi="Times New Roman" w:eastAsia="黑体" w:cs="黑体"/>
      <w:sz w:val="52"/>
      <w:szCs w:val="52"/>
      <w:lang w:val="en-US" w:eastAsia="zh-CN" w:bidi="ar-SA"/>
    </w:rPr>
  </w:style>
  <w:style w:type="paragraph" w:customStyle="1" w:styleId="51">
    <w:name w:val="Char Char Char Char Char Char Char Char Char Char"/>
    <w:basedOn w:val="1"/>
    <w:qFormat/>
    <w:uiPriority w:val="99"/>
    <w:pPr>
      <w:widowControl/>
      <w:spacing w:after="160" w:line="240" w:lineRule="exact"/>
      <w:jc w:val="left"/>
    </w:pPr>
    <w:rPr>
      <w:rFonts w:ascii="Verdana" w:hAnsi="Verdana" w:eastAsia="仿宋_GB2312" w:cs="Verdana"/>
      <w:kern w:val="0"/>
      <w:sz w:val="24"/>
      <w:szCs w:val="24"/>
      <w:lang w:eastAsia="en-US"/>
    </w:rPr>
  </w:style>
  <w:style w:type="paragraph" w:customStyle="1" w:styleId="52">
    <w:name w:val="Char Char Char Char Char Char Char Char Char Char1"/>
    <w:basedOn w:val="1"/>
    <w:qFormat/>
    <w:uiPriority w:val="99"/>
    <w:pPr>
      <w:widowControl/>
      <w:spacing w:after="160" w:line="240" w:lineRule="exact"/>
      <w:jc w:val="left"/>
    </w:pPr>
    <w:rPr>
      <w:rFonts w:ascii="Verdana" w:hAnsi="Verdana" w:eastAsia="仿宋_GB2312" w:cs="Verdana"/>
      <w:kern w:val="0"/>
      <w:sz w:val="24"/>
      <w:szCs w:val="24"/>
      <w:lang w:eastAsia="en-US"/>
    </w:rPr>
  </w:style>
  <w:style w:type="paragraph" w:customStyle="1" w:styleId="53">
    <w:name w:val="p15"/>
    <w:basedOn w:val="1"/>
    <w:qFormat/>
    <w:uiPriority w:val="99"/>
    <w:pPr>
      <w:widowControl/>
      <w:jc w:val="left"/>
    </w:pPr>
    <w:rPr>
      <w:kern w:val="0"/>
      <w:sz w:val="20"/>
      <w:szCs w:val="20"/>
    </w:rPr>
  </w:style>
  <w:style w:type="paragraph" w:customStyle="1" w:styleId="54">
    <w:name w:val="列出段落1"/>
    <w:basedOn w:val="1"/>
    <w:qFormat/>
    <w:uiPriority w:val="99"/>
    <w:pPr>
      <w:ind w:firstLine="420" w:firstLineChars="200"/>
    </w:pPr>
  </w:style>
  <w:style w:type="paragraph" w:customStyle="1" w:styleId="55">
    <w:name w:val="Char"/>
    <w:basedOn w:val="1"/>
    <w:qFormat/>
    <w:uiPriority w:val="99"/>
    <w:pPr>
      <w:widowControl/>
      <w:spacing w:after="160" w:line="240" w:lineRule="exact"/>
      <w:jc w:val="left"/>
    </w:pPr>
  </w:style>
  <w:style w:type="paragraph" w:customStyle="1" w:styleId="56">
    <w:name w:val="Revision"/>
    <w:qFormat/>
    <w:uiPriority w:val="99"/>
    <w:rPr>
      <w:rFonts w:ascii="Times New Roman" w:hAnsi="Times New Roman" w:eastAsia="宋体" w:cs="Times New Roman"/>
      <w:kern w:val="2"/>
      <w:sz w:val="21"/>
      <w:szCs w:val="21"/>
      <w:lang w:val="en-US" w:eastAsia="zh-CN" w:bidi="ar-SA"/>
    </w:rPr>
  </w:style>
  <w:style w:type="paragraph" w:customStyle="1" w:styleId="57">
    <w:name w:val="Char Char Char Char Char Char1"/>
    <w:basedOn w:val="1"/>
    <w:qFormat/>
    <w:uiPriority w:val="99"/>
    <w:pPr>
      <w:widowControl/>
      <w:spacing w:after="160" w:line="240" w:lineRule="exact"/>
      <w:jc w:val="left"/>
    </w:pPr>
    <w:rPr>
      <w:rFonts w:ascii="Verdana" w:hAnsi="Verdana" w:eastAsia="仿宋_GB2312" w:cs="Verdana"/>
      <w:kern w:val="0"/>
      <w:sz w:val="24"/>
      <w:szCs w:val="24"/>
      <w:lang w:eastAsia="en-US"/>
    </w:rPr>
  </w:style>
  <w:style w:type="paragraph" w:customStyle="1" w:styleId="58">
    <w:name w:val="Char1"/>
    <w:basedOn w:val="1"/>
    <w:qFormat/>
    <w:uiPriority w:val="99"/>
    <w:pPr>
      <w:widowControl/>
      <w:spacing w:after="160" w:line="240" w:lineRule="exact"/>
      <w:jc w:val="left"/>
    </w:pPr>
    <w:rPr>
      <w:rFonts w:ascii="Verdana" w:hAnsi="Verdana" w:cs="Verdana"/>
      <w:kern w:val="0"/>
      <w:sz w:val="18"/>
      <w:szCs w:val="18"/>
      <w:lang w:eastAsia="en-US"/>
    </w:rPr>
  </w:style>
  <w:style w:type="paragraph" w:customStyle="1" w:styleId="59">
    <w:name w:val="Char2"/>
    <w:basedOn w:val="1"/>
    <w:qFormat/>
    <w:uiPriority w:val="99"/>
    <w:rPr>
      <w:rFonts w:ascii="宋体" w:hAnsi="宋体" w:cs="宋体"/>
      <w:sz w:val="32"/>
      <w:szCs w:val="32"/>
    </w:rPr>
  </w:style>
  <w:style w:type="paragraph" w:customStyle="1" w:styleId="60">
    <w:name w:val="Char Char Char Char"/>
    <w:basedOn w:val="1"/>
    <w:qFormat/>
    <w:uiPriority w:val="99"/>
    <w:pPr>
      <w:widowControl/>
      <w:spacing w:after="160" w:line="240" w:lineRule="exact"/>
      <w:jc w:val="left"/>
    </w:pPr>
    <w:rPr>
      <w:rFonts w:eastAsia="仿宋_GB2312"/>
      <w:sz w:val="32"/>
      <w:szCs w:val="32"/>
    </w:rPr>
  </w:style>
  <w:style w:type="paragraph" w:customStyle="1" w:styleId="61">
    <w:name w:val="Default"/>
    <w:qFormat/>
    <w:uiPriority w:val="99"/>
    <w:pPr>
      <w:widowControl w:val="0"/>
      <w:autoSpaceDE w:val="0"/>
      <w:autoSpaceDN w:val="0"/>
      <w:adjustRightInd w:val="0"/>
    </w:pPr>
    <w:rPr>
      <w:rFonts w:ascii="FZFangSong-Z02" w:hAnsi="Times New Roman" w:eastAsia="FZFangSong-Z02" w:cs="FZFangSong-Z02"/>
      <w:color w:val="000000"/>
      <w:sz w:val="24"/>
      <w:szCs w:val="24"/>
      <w:lang w:val="en-US" w:eastAsia="zh-CN" w:bidi="ar-SA"/>
    </w:rPr>
  </w:style>
  <w:style w:type="paragraph" w:customStyle="1" w:styleId="62">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 w:type="table" w:customStyle="1" w:styleId="63">
    <w:name w:val="Table Normal"/>
    <w:unhideWhenUsed/>
    <w:qFormat/>
    <w:uiPriority w:val="2"/>
    <w:tblPr>
      <w:tblCellMar>
        <w:top w:w="0" w:type="dxa"/>
        <w:left w:w="0" w:type="dxa"/>
        <w:bottom w:w="0" w:type="dxa"/>
        <w:right w:w="0" w:type="dxa"/>
      </w:tblCellMar>
    </w:tblPr>
  </w:style>
  <w:style w:type="paragraph" w:customStyle="1" w:styleId="64">
    <w:name w:val="Table Paragraph"/>
    <w:basedOn w:val="1"/>
    <w:qFormat/>
    <w:uiPriority w:val="1"/>
    <w:rPr>
      <w:rFonts w:eastAsia="仿宋_GB2312"/>
      <w:sz w:val="30"/>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265</Words>
  <Characters>1513</Characters>
  <Lines>12</Lines>
  <Paragraphs>3</Paragraphs>
  <TotalTime>4</TotalTime>
  <ScaleCrop>false</ScaleCrop>
  <LinksUpToDate>false</LinksUpToDate>
  <CharactersWithSpaces>1775</CharactersWithSpaces>
  <Application>WPS Office_11.8.2.10533_F1E327BC-269C-435d-A152-05C5408002CA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2017-01-23T00:40:00Z</dcterms:created>
  <dc:creator>微软用户</dc:creator>
  <cp:lastModifiedBy>传入的名字</cp:lastModifiedBy>
  <dcterms:modified xsi:type="dcterms:W3CDTF">2025-11-13T09:15:08Z</dcterms:modified>
  <dc:title>2017年肇庆市建筑小五金产品质量监督抽查实施细则</dc:title>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y fmtid="{D5CDD505-2E9C-101B-9397-08002B2CF9AE}" pid="3" name="ICV">
    <vt:lpwstr>8812E2895805473A821632DD5E31CC29</vt:lpwstr>
  </property>
</Properties>
</file>