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94" w:lineRule="exact"/>
        <w:ind w:left="2640" w:hanging="2640" w:hangingChars="600"/>
        <w:jc w:val="center"/>
        <w:rPr>
          <w:rFonts w:hint="eastAsia" w:eastAsia="方正小标宋简体"/>
          <w:sz w:val="44"/>
          <w:szCs w:val="44"/>
        </w:rPr>
      </w:pPr>
      <w:r>
        <w:rPr>
          <w:rFonts w:hint="eastAsia" w:eastAsia="方正小标宋简体"/>
          <w:sz w:val="44"/>
          <w:szCs w:val="44"/>
          <w:lang w:val="en-US" w:eastAsia="zh-CN"/>
        </w:rPr>
        <w:t>肇庆</w:t>
      </w:r>
      <w:r>
        <w:rPr>
          <w:rFonts w:hint="eastAsia" w:eastAsia="方正小标宋简体"/>
          <w:sz w:val="44"/>
          <w:szCs w:val="44"/>
        </w:rPr>
        <w:t>市建筑用金属面绝热夹芯板</w:t>
      </w:r>
    </w:p>
    <w:p>
      <w:pPr>
        <w:snapToGrid w:val="0"/>
        <w:spacing w:line="594" w:lineRule="exact"/>
        <w:ind w:left="2640" w:hanging="2640" w:hangingChars="600"/>
        <w:jc w:val="center"/>
        <w:rPr>
          <w:rFonts w:hint="eastAsia" w:eastAsia="方正小标宋简体"/>
          <w:sz w:val="44"/>
          <w:szCs w:val="44"/>
        </w:rPr>
      </w:pPr>
      <w:r>
        <w:rPr>
          <w:rFonts w:hint="eastAsia" w:eastAsia="方正小标宋简体"/>
          <w:sz w:val="44"/>
          <w:szCs w:val="44"/>
        </w:rPr>
        <w:t>产品质量监督抽查实施细则</w:t>
      </w:r>
    </w:p>
    <w:p>
      <w:pPr>
        <w:spacing w:line="560" w:lineRule="exact"/>
        <w:jc w:val="center"/>
        <w:rPr>
          <w:rFonts w:hint="eastAsia" w:ascii="楷体_GB2312" w:hAnsi="楷体_GB2312" w:eastAsia="楷体_GB2312" w:cs="楷体_GB2312"/>
          <w:szCs w:val="32"/>
        </w:rPr>
      </w:pPr>
      <w:r>
        <w:rPr>
          <w:rFonts w:hint="eastAsia" w:ascii="楷体_GB2312" w:hAnsi="楷体_GB2312" w:eastAsia="楷体_GB2312" w:cs="楷体_GB2312"/>
          <w:szCs w:val="32"/>
        </w:rPr>
        <w:t>（2025年版）</w:t>
      </w:r>
    </w:p>
    <w:p>
      <w:pPr>
        <w:snapToGrid w:val="0"/>
        <w:spacing w:line="440" w:lineRule="exact"/>
        <w:ind w:firstLine="420" w:firstLineChars="200"/>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Cs w:val="32"/>
        </w:rPr>
      </w:pPr>
      <w:r>
        <w:rPr>
          <w:rFonts w:hint="eastAsia" w:ascii="方正黑体_GBK" w:hAnsi="方正黑体_GBK" w:eastAsia="方正黑体_GBK" w:cs="方正黑体_GBK"/>
          <w:szCs w:val="32"/>
          <w:lang w:eastAsia="zh-CN"/>
        </w:rPr>
        <w:t>一、</w:t>
      </w:r>
      <w:r>
        <w:rPr>
          <w:rFonts w:hint="eastAsia" w:ascii="方正黑体_GBK" w:hAnsi="方正黑体_GBK" w:eastAsia="方正黑体_GBK" w:cs="方正黑体_GBK"/>
          <w:szCs w:val="32"/>
        </w:rPr>
        <w:t>抽样方法</w:t>
      </w:r>
    </w:p>
    <w:p>
      <w:pPr>
        <w:keepNext w:val="0"/>
        <w:keepLines w:val="0"/>
        <w:pageBreakBefore w:val="0"/>
        <w:widowControl w:val="0"/>
        <w:kinsoku/>
        <w:wordWrap/>
        <w:overflowPunct/>
        <w:topLinePunct w:val="0"/>
        <w:autoSpaceDE/>
        <w:autoSpaceDN/>
        <w:bidi w:val="0"/>
        <w:adjustRightInd/>
        <w:snapToGrid w:val="0"/>
        <w:spacing w:line="560" w:lineRule="exact"/>
        <w:ind w:firstLine="616" w:firstLineChars="200"/>
        <w:textAlignment w:val="auto"/>
        <w:rPr>
          <w:rFonts w:hint="eastAsia" w:ascii="仿宋_GB2312" w:hAnsi="仿宋_GB2312" w:eastAsia="仿宋_GB2312" w:cs="仿宋_GB2312"/>
          <w:spacing w:val="-6"/>
          <w:szCs w:val="32"/>
        </w:rPr>
      </w:pPr>
      <w:r>
        <w:rPr>
          <w:rFonts w:hint="eastAsia" w:ascii="仿宋_GB2312" w:hAnsi="仿宋_GB2312" w:eastAsia="仿宋_GB2312" w:cs="仿宋_GB2312"/>
          <w:spacing w:val="-6"/>
          <w:szCs w:val="32"/>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snapToGrid w:val="0"/>
        <w:spacing w:line="560" w:lineRule="exact"/>
        <w:ind w:firstLine="616" w:firstLineChars="200"/>
        <w:textAlignment w:val="auto"/>
        <w:rPr>
          <w:rFonts w:hint="eastAsia" w:ascii="仿宋_GB2312" w:hAnsi="仿宋_GB2312" w:eastAsia="仿宋_GB2312" w:cs="仿宋_GB2312"/>
          <w:spacing w:val="-6"/>
          <w:szCs w:val="32"/>
        </w:rPr>
      </w:pPr>
      <w:r>
        <w:rPr>
          <w:rFonts w:hint="eastAsia" w:ascii="仿宋_GB2312" w:hAnsi="仿宋_GB2312" w:eastAsia="仿宋_GB2312" w:cs="仿宋_GB2312"/>
          <w:spacing w:val="-6"/>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szCs w:val="32"/>
        </w:rPr>
        <w:t>每批次产品抽取样品2组样本，其中第1组为检验样品，第2组为备用样品。每组样本需抽取样品数量如下表所示：</w:t>
      </w:r>
    </w:p>
    <w:tbl>
      <w:tblPr>
        <w:tblStyle w:val="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701"/>
        <w:gridCol w:w="3685"/>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1" w:hRule="atLeast"/>
          <w:jc w:val="center"/>
        </w:trPr>
        <w:tc>
          <w:tcPr>
            <w:tcW w:w="846" w:type="dxa"/>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序号</w:t>
            </w:r>
          </w:p>
        </w:tc>
        <w:tc>
          <w:tcPr>
            <w:tcW w:w="1701" w:type="dxa"/>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产品名称</w:t>
            </w:r>
          </w:p>
        </w:tc>
        <w:tc>
          <w:tcPr>
            <w:tcW w:w="3685" w:type="dxa"/>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第1组数量</w:t>
            </w:r>
          </w:p>
        </w:tc>
        <w:tc>
          <w:tcPr>
            <w:tcW w:w="3402" w:type="dxa"/>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1" w:hRule="atLeast"/>
          <w:jc w:val="center"/>
        </w:trPr>
        <w:tc>
          <w:tcPr>
            <w:tcW w:w="846"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w:t>
            </w:r>
          </w:p>
        </w:tc>
        <w:tc>
          <w:tcPr>
            <w:tcW w:w="1701"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建筑用金属面绝热夹芯板A2级</w:t>
            </w:r>
          </w:p>
        </w:tc>
        <w:tc>
          <w:tcPr>
            <w:tcW w:w="3685"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1500×1000 (mm) ×3块，1500×500 (mm) ×3块，500×500(mm) ×2块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（厚度为原厚，若样品表面有油漆、涂层等，需提供油漆、涂层粉末20克）</w:t>
            </w:r>
          </w:p>
        </w:tc>
        <w:tc>
          <w:tcPr>
            <w:tcW w:w="3402"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1500×1000 (mm) ×3块，1500×500 (mm) ×3块，500×500(mm) ×2块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（厚度为原厚，若样品表面有油漆、涂层等，需提供油漆、涂层粉末20克）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22" w:hRule="atLeast"/>
          <w:jc w:val="center"/>
        </w:trPr>
        <w:tc>
          <w:tcPr>
            <w:tcW w:w="846"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w:t>
            </w:r>
          </w:p>
        </w:tc>
        <w:tc>
          <w:tcPr>
            <w:tcW w:w="1701"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建筑用金属面绝热夹芯板B1级</w:t>
            </w:r>
          </w:p>
        </w:tc>
        <w:tc>
          <w:tcPr>
            <w:tcW w:w="3685"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1500×1000 (mm) ×3块，1500×500 (mm) ×3块，500×500(mm) ×2块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w:t>
            </w:r>
          </w:p>
        </w:tc>
        <w:tc>
          <w:tcPr>
            <w:tcW w:w="3402"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1500×1000 (mm) ×3块，1500×500 (mm) ×3块，500×500(mm) ×2块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46" w:hRule="atLeast"/>
          <w:jc w:val="center"/>
        </w:trPr>
        <w:tc>
          <w:tcPr>
            <w:tcW w:w="846"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p>
        </w:tc>
        <w:tc>
          <w:tcPr>
            <w:tcW w:w="1701"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建筑用金属面绝热夹芯板B2(D)级</w:t>
            </w:r>
          </w:p>
        </w:tc>
        <w:tc>
          <w:tcPr>
            <w:tcW w:w="3685"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1500×1000 (mm) ×3块，1500×500 (mm) ×3块，500×500(mm) ×2块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w:t>
            </w:r>
          </w:p>
        </w:tc>
        <w:tc>
          <w:tcPr>
            <w:tcW w:w="3402"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1500×1000 (mm) ×3块，1500×500 (mm) ×3块，500×500(mm) ×2块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8" w:hRule="atLeast"/>
          <w:jc w:val="center"/>
        </w:trPr>
        <w:tc>
          <w:tcPr>
            <w:tcW w:w="846"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w:t>
            </w:r>
          </w:p>
        </w:tc>
        <w:tc>
          <w:tcPr>
            <w:tcW w:w="1701"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建筑用金属面绝热夹芯板B2(E)级</w:t>
            </w:r>
          </w:p>
        </w:tc>
        <w:tc>
          <w:tcPr>
            <w:tcW w:w="3685"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250 × 90 (mm) × 6块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w:t>
            </w:r>
          </w:p>
        </w:tc>
        <w:tc>
          <w:tcPr>
            <w:tcW w:w="3402"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250 × 90 (mm) × 6块</w:t>
            </w:r>
          </w:p>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（厚度为原厚）</w:t>
            </w:r>
          </w:p>
        </w:tc>
      </w:tr>
    </w:tbl>
    <w:p>
      <w:pPr>
        <w:snapToGrid w:val="0"/>
        <w:spacing w:line="560" w:lineRule="exact"/>
        <w:ind w:firstLine="600" w:firstLineChars="200"/>
        <w:rPr>
          <w:rFonts w:hint="eastAsia" w:ascii="黑体" w:hAnsi="黑体" w:eastAsia="黑体" w:cs="黑体"/>
          <w:szCs w:val="32"/>
        </w:rPr>
      </w:pPr>
      <w:r>
        <w:rPr>
          <w:rFonts w:hint="eastAsia" w:ascii="黑体" w:hAnsi="黑体" w:eastAsia="黑体" w:cs="黑体"/>
          <w:sz w:val="30"/>
          <w:szCs w:val="30"/>
          <w:lang w:eastAsia="zh-CN"/>
        </w:rPr>
        <w:t>二、</w:t>
      </w:r>
      <w:r>
        <w:rPr>
          <w:rFonts w:hint="eastAsia" w:ascii="黑体" w:hAnsi="黑体" w:eastAsia="黑体" w:cs="黑体"/>
          <w:sz w:val="30"/>
          <w:szCs w:val="30"/>
        </w:rPr>
        <w:t>检验依据</w:t>
      </w:r>
    </w:p>
    <w:tbl>
      <w:tblPr>
        <w:tblStyle w:val="5"/>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693"/>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4" w:hRule="atLeast"/>
          <w:tblHeader/>
          <w:jc w:val="center"/>
        </w:trPr>
        <w:tc>
          <w:tcPr>
            <w:tcW w:w="12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序号</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检验项目</w:t>
            </w:r>
          </w:p>
        </w:tc>
        <w:tc>
          <w:tcPr>
            <w:tcW w:w="496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w:t>
            </w:r>
          </w:p>
        </w:tc>
        <w:tc>
          <w:tcPr>
            <w:tcW w:w="26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燃烧性能A2级</w:t>
            </w:r>
          </w:p>
        </w:tc>
        <w:tc>
          <w:tcPr>
            <w:tcW w:w="496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GB/T 20284-2006、GB/T 14402-2007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1" w:hRule="atLeast"/>
          <w:jc w:val="center"/>
        </w:trPr>
        <w:tc>
          <w:tcPr>
            <w:tcW w:w="1271"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w:t>
            </w:r>
          </w:p>
        </w:tc>
        <w:tc>
          <w:tcPr>
            <w:tcW w:w="2693"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燃烧性能B1级</w:t>
            </w:r>
          </w:p>
        </w:tc>
        <w:tc>
          <w:tcPr>
            <w:tcW w:w="4962"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GB/T 20284-2006、GB/T 8626-2007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1" w:hRule="atLeast"/>
          <w:jc w:val="center"/>
        </w:trPr>
        <w:tc>
          <w:tcPr>
            <w:tcW w:w="1271"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p>
        </w:tc>
        <w:tc>
          <w:tcPr>
            <w:tcW w:w="2693"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燃烧性能B2级</w:t>
            </w:r>
          </w:p>
        </w:tc>
        <w:tc>
          <w:tcPr>
            <w:tcW w:w="4962" w:type="dxa"/>
            <w:vAlign w:val="center"/>
          </w:tcPr>
          <w:p>
            <w:pPr>
              <w:adjustRightInd w:val="0"/>
              <w:snapToGrid w:val="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GB/T 20284-2006、GB/T 8626-2007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1" w:hRule="atLeast"/>
          <w:jc w:val="center"/>
        </w:trPr>
        <w:tc>
          <w:tcPr>
            <w:tcW w:w="8926" w:type="dxa"/>
            <w:gridSpan w:val="3"/>
            <w:vAlign w:val="center"/>
          </w:tcPr>
          <w:p>
            <w:pPr>
              <w:adjustRightInd w:val="0"/>
              <w:snapToGrid w:val="0"/>
              <w:jc w:val="left"/>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备注：根据样品标称燃烧性能等级进行检测，并在抽查报告中说明。</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sz w:val="30"/>
          <w:szCs w:val="30"/>
        </w:rPr>
      </w:pPr>
      <w:r>
        <w:rPr>
          <w:sz w:val="30"/>
          <w:szCs w:val="30"/>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sz w:val="30"/>
          <w:szCs w:val="30"/>
        </w:rPr>
      </w:pPr>
      <w:r>
        <w:rPr>
          <w:sz w:val="30"/>
          <w:szCs w:val="30"/>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黑体" w:hAnsi="黑体" w:eastAsia="黑体" w:cs="黑体"/>
          <w:sz w:val="30"/>
          <w:szCs w:val="30"/>
        </w:rPr>
      </w:pPr>
      <w:r>
        <w:rPr>
          <w:rFonts w:hint="eastAsia" w:ascii="方正黑体_GBK" w:hAnsi="方正黑体_GBK" w:eastAsia="方正黑体_GBK" w:cs="方正黑体_GBK"/>
          <w:sz w:val="30"/>
          <w:szCs w:val="30"/>
          <w:lang w:eastAsia="zh-CN"/>
        </w:rPr>
        <w:t>三、</w:t>
      </w:r>
      <w:r>
        <w:rPr>
          <w:rFonts w:hint="eastAsia" w:ascii="方正黑体_GBK" w:hAnsi="方正黑体_GBK" w:eastAsia="方正黑体_GBK" w:cs="方正黑体_GBK"/>
          <w:sz w:val="30"/>
          <w:szCs w:val="30"/>
        </w:rPr>
        <w:t>判定规则</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lang w:eastAsia="zh-CN"/>
        </w:rPr>
        <w:t>（一）</w:t>
      </w:r>
      <w:r>
        <w:rPr>
          <w:rFonts w:hint="eastAsia" w:ascii="楷体_GB2312" w:hAnsi="楷体_GB2312" w:eastAsia="楷体_GB2312" w:cs="楷体_GB2312"/>
          <w:sz w:val="30"/>
          <w:szCs w:val="30"/>
        </w:rPr>
        <w:t>依据标准</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 20286-2006</w:t>
      </w:r>
      <w:bookmarkStart w:id="0" w:name="_GoBack"/>
      <w:bookmarkEnd w:id="0"/>
      <w:r>
        <w:rPr>
          <w:rFonts w:hint="eastAsia" w:ascii="仿宋_GB2312" w:hAnsi="仿宋_GB2312" w:eastAsia="仿宋_GB2312" w:cs="仿宋_GB2312"/>
          <w:sz w:val="30"/>
          <w:szCs w:val="30"/>
        </w:rPr>
        <w:t>《公共场所阻燃制品及组件燃烧性能要求及标示》</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 8624-2012《建筑材料及制品燃烧性能分级》</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rFonts w:hint="eastAsia"/>
          <w:sz w:val="30"/>
          <w:szCs w:val="30"/>
        </w:rPr>
        <w:t>现行有效的企业标准、团体标准、地方标</w:t>
      </w:r>
      <w:r>
        <w:rPr>
          <w:sz w:val="30"/>
          <w:szCs w:val="30"/>
        </w:rPr>
        <w:t>准及产品明示质量要求</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lang w:eastAsia="zh-CN"/>
        </w:rPr>
        <w:t>（二）</w:t>
      </w:r>
      <w:r>
        <w:rPr>
          <w:rFonts w:hint="eastAsia" w:ascii="楷体_GB2312" w:hAnsi="楷体_GB2312" w:eastAsia="楷体_GB2312" w:cs="楷体_GB2312"/>
          <w:sz w:val="30"/>
          <w:szCs w:val="30"/>
        </w:rPr>
        <w:t>判定原则</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sz w:val="30"/>
          <w:szCs w:val="30"/>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sz w:val="30"/>
          <w:szCs w:val="30"/>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sz w:val="30"/>
          <w:szCs w:val="30"/>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sz w:val="30"/>
          <w:szCs w:val="30"/>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sz w:val="30"/>
          <w:szCs w:val="30"/>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snapToGrid w:val="0"/>
        <w:spacing w:line="560" w:lineRule="exact"/>
        <w:ind w:firstLine="600" w:firstLineChars="200"/>
        <w:textAlignment w:val="auto"/>
        <w:rPr>
          <w:sz w:val="30"/>
          <w:szCs w:val="30"/>
        </w:rPr>
      </w:pPr>
      <w:r>
        <w:rPr>
          <w:sz w:val="30"/>
          <w:szCs w:val="30"/>
        </w:rPr>
        <w:t>若被检产品明示的质量要求缺少本细则中检验项目依据的推荐性标准要求时，该项目不参与判定。</w:t>
      </w:r>
    </w:p>
    <w:sectPr>
      <w:pgSz w:w="11906" w:h="16838"/>
      <w:pgMar w:top="2098" w:right="1361"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2010600030101010101"/>
    <w:charset w:val="88"/>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国标宋体-超大字符集扩"/>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国标宋体-超大字符集扩">
    <w:panose1 w:val="000005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177"/>
    <w:rsid w:val="00006A66"/>
    <w:rsid w:val="000107C1"/>
    <w:rsid w:val="00032AEE"/>
    <w:rsid w:val="000A0DAA"/>
    <w:rsid w:val="000B0C23"/>
    <w:rsid w:val="000F5218"/>
    <w:rsid w:val="0011545F"/>
    <w:rsid w:val="00192284"/>
    <w:rsid w:val="001A4151"/>
    <w:rsid w:val="00200686"/>
    <w:rsid w:val="0020333C"/>
    <w:rsid w:val="00214D51"/>
    <w:rsid w:val="002A3A2B"/>
    <w:rsid w:val="002B364D"/>
    <w:rsid w:val="002E3263"/>
    <w:rsid w:val="002F5B59"/>
    <w:rsid w:val="00313E87"/>
    <w:rsid w:val="00355993"/>
    <w:rsid w:val="003744C8"/>
    <w:rsid w:val="0039799A"/>
    <w:rsid w:val="00431141"/>
    <w:rsid w:val="00460943"/>
    <w:rsid w:val="00487DA5"/>
    <w:rsid w:val="004A0EAE"/>
    <w:rsid w:val="004B3986"/>
    <w:rsid w:val="004E0328"/>
    <w:rsid w:val="005660E5"/>
    <w:rsid w:val="005B55D4"/>
    <w:rsid w:val="00667BF8"/>
    <w:rsid w:val="006B7229"/>
    <w:rsid w:val="006C3D37"/>
    <w:rsid w:val="006D4C43"/>
    <w:rsid w:val="006F4C03"/>
    <w:rsid w:val="00705CF4"/>
    <w:rsid w:val="007B5F8B"/>
    <w:rsid w:val="00885D10"/>
    <w:rsid w:val="00897455"/>
    <w:rsid w:val="008B628F"/>
    <w:rsid w:val="009707ED"/>
    <w:rsid w:val="00971B6F"/>
    <w:rsid w:val="00980177"/>
    <w:rsid w:val="009C07E4"/>
    <w:rsid w:val="00A247C7"/>
    <w:rsid w:val="00A82009"/>
    <w:rsid w:val="00A86633"/>
    <w:rsid w:val="00AD0D58"/>
    <w:rsid w:val="00B03FE5"/>
    <w:rsid w:val="00BB58D1"/>
    <w:rsid w:val="00C037D7"/>
    <w:rsid w:val="00C05A23"/>
    <w:rsid w:val="00C41D17"/>
    <w:rsid w:val="00C82381"/>
    <w:rsid w:val="00D263BD"/>
    <w:rsid w:val="00D605A3"/>
    <w:rsid w:val="00D85C83"/>
    <w:rsid w:val="00DB3FD7"/>
    <w:rsid w:val="00DC5887"/>
    <w:rsid w:val="00E50E93"/>
    <w:rsid w:val="00E5404A"/>
    <w:rsid w:val="00E91326"/>
    <w:rsid w:val="00F552E4"/>
    <w:rsid w:val="00FB21BC"/>
    <w:rsid w:val="0A29306A"/>
    <w:rsid w:val="1D3B17A0"/>
    <w:rsid w:val="2D980498"/>
    <w:rsid w:val="4C0403A5"/>
    <w:rsid w:val="BEFF29D8"/>
    <w:rsid w:val="F7D23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unhideWhenUsed/>
    <w:qFormat/>
    <w:uiPriority w:val="99"/>
    <w:rPr>
      <w:rFonts w:ascii="宋体" w:hAnsi="Courier New" w:eastAsia="宋体"/>
      <w:szCs w:val="21"/>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纯文本 字符"/>
    <w:basedOn w:val="6"/>
    <w:link w:val="2"/>
    <w:qFormat/>
    <w:uiPriority w:val="99"/>
    <w:rPr>
      <w:rFonts w:ascii="宋体" w:hAnsi="Courier New" w:eastAsia="宋体" w:cs="Times New Roman"/>
      <w:sz w:val="32"/>
      <w:szCs w:val="21"/>
    </w:rPr>
  </w:style>
  <w:style w:type="paragraph" w:customStyle="1" w:styleId="10">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11">
    <w:name w:val="Table Text"/>
    <w:semiHidden/>
    <w:qFormat/>
    <w:uiPriority w:val="0"/>
    <w:pPr>
      <w:widowControl w:val="0"/>
      <w:jc w:val="both"/>
    </w:pPr>
    <w:rPr>
      <w:rFonts w:ascii="Times New Roman" w:hAnsi="Times New Roman" w:eastAsia="Times New Roman" w:cs="Times New Roman"/>
      <w:kern w:val="2"/>
      <w:sz w:val="20"/>
      <w:szCs w:val="20"/>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1017</Words>
  <Characters>1290</Characters>
  <Lines>10</Lines>
  <Paragraphs>2</Paragraphs>
  <TotalTime>31</TotalTime>
  <ScaleCrop>false</ScaleCrop>
  <LinksUpToDate>false</LinksUpToDate>
  <CharactersWithSpaces>1341</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2025-05-09T00:49:00Z</dcterms:created>
  <dc:creator>KM_Huang</dc:creator>
  <cp:lastModifiedBy>传入的名字</cp:lastModifiedBy>
  <dcterms:modified xsi:type="dcterms:W3CDTF">2025-11-13T09:20:53Z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y fmtid="{D5CDD505-2E9C-101B-9397-08002B2CF9AE}" pid="3" name="ICV">
    <vt:lpwstr>3A3D025CC4474F3171EE2668353D8FFC</vt:lpwstr>
  </property>
  <property fmtid="{D5CDD505-2E9C-101B-9397-08002B2CF9AE}" pid="4" name="KSOTemplateDocerSaveRecord">
    <vt:lpwstr>eyJoZGlkIjoiMDg2YjQwYWY3ODY3ZDBlZDI0ZjkzMjE1M2Y1Zjk4ZTAiLCJ1c2VySWQiOiIxNTQyNTMwMjAwIn0=</vt:lpwstr>
  </property>
</Properties>
</file>